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360" w:after="80"/>
        <w:jc w:val="center"/>
        <w:keepLines w:val="0"/>
        <w:widowControl/>
      </w:pPr>
      <w:r>
        <w:rPr>
          <w:rFonts w:ascii="Aptos Display" w:hAnsi="Aptos Display"/>
          <w:b/>
          <w:color w:val="7A1446"/>
          <w:sz w:val="32"/>
        </w:rPr>
        <w:t>REGULAMENT OFICIAL</w:t>
      </w:r>
    </w:p>
    <w:p>
      <w:pPr>
        <w:spacing w:after="60"/>
        <w:jc w:val="center"/>
        <w:keepLines w:val="0"/>
        <w:widowControl/>
      </w:pPr>
      <w:r>
        <w:rPr>
          <w:rFonts w:ascii="Aptos Display" w:hAnsi="Aptos Display"/>
          <w:b/>
          <w:sz w:val="28"/>
        </w:rPr>
        <w:t>CAMPANIA PROMOȚIONALĂ</w:t>
      </w:r>
    </w:p>
    <w:p>
      <w:pPr>
        <w:spacing w:after="160"/>
        <w:jc w:val="center"/>
        <w:keepLines w:val="0"/>
        <w:widowControl/>
      </w:pPr>
      <w:r>
        <w:rPr>
          <w:rFonts w:ascii="Aptos Display" w:hAnsi="Aptos Display"/>
          <w:b/>
          <w:color w:val="C2185B"/>
          <w:sz w:val="48"/>
        </w:rPr>
        <w:t>„BIRTHDAY SALE”</w:t>
      </w:r>
    </w:p>
    <w:p>
      <w:pPr>
        <w:spacing w:after="240"/>
        <w:jc w:val="center"/>
        <w:keepLines w:val="0"/>
        <w:widowControl/>
      </w:pPr>
      <w:r>
        <w:rPr>
          <w:b/>
          <w:color w:val="464646"/>
          <w:sz w:val="24"/>
        </w:rPr>
        <w:t>7 august 2026 – 24 august 2026</w:t>
      </w:r>
    </w:p>
    <w:tbl>
      <w:tblPr>
        <w:tblW w:type="auto" w:w="0"/>
        <w:jc w:val="center"/>
        <w:tblLayout w:type="autofit"/>
        <w:tblLook w:firstColumn="1" w:firstRow="1" w:lastColumn="0" w:lastRow="0" w:noHBand="0" w:noVBand="1" w:val="04A0"/>
      </w:tblPr>
      <w:tblGrid>
        <w:gridCol w:w="9858"/>
      </w:tblGrid>
      <w:tr>
        <w:tc>
          <w:tcPr>
            <w:tcW w:type="dxa" w:w="9858"/>
            <w:shd w:fill="FCECF3"/>
            <w:tcMar>
              <w:top w:w="180" w:type="dxa"/>
              <w:start w:w="220" w:type="dxa"/>
              <w:bottom w:w="180" w:type="dxa"/>
              <w:end w:w="220" w:type="dxa"/>
            </w:tcMar>
            <w:vAlign w:val="center"/>
          </w:tcPr>
          <w:p>
            <w:pPr>
              <w:spacing w:after="0"/>
              <w:jc w:val="both"/>
            </w:pPr>
            <w:r>
              <w:rPr>
                <w:sz w:val="20"/>
              </w:rPr>
              <w:t>Prezentul regulament stabilește condițiile de desfășurare a campaniei promoționale „Birthday Sale”, organizată pe website-ul www.pinknails.ro. Participarea la campanie presupune respectarea și acceptarea prevederilor de mai jos.</w:t>
            </w:r>
          </w:p>
        </w:tc>
      </w:tr>
    </w:tbl>
    <w:p>
      <w:pPr>
        <w:spacing w:after="0"/>
        <w:keepLines w:val="0"/>
        <w:widowControl/>
      </w:pPr>
    </w:p>
    <w:p>
      <w:pPr>
        <w:pStyle w:val="ArticleHeading"/>
        <w:keepNext/>
        <w:widowControl/>
      </w:pPr>
      <w:r>
        <w:t>Art. 1 – ORGANIZATORUL CAMPANIEI</w:t>
      </w:r>
    </w:p>
    <w:p>
      <w:pPr>
        <w:pStyle w:val="Clause"/>
        <w:keepLines w:val="0"/>
        <w:widowControl/>
        <w:widowControl/>
      </w:pPr>
      <w:r>
        <w:t>1.1. Campania promoțională „Birthday Sale” este organizată de S.C. PINK BEAUTY INTERNATIONAL S.R.L., denumită în continuare „Organizatorul”.</w:t>
      </w:r>
    </w:p>
    <w:p>
      <w:pPr>
        <w:pStyle w:val="Clause"/>
        <w:keepLines w:val="0"/>
        <w:widowControl/>
        <w:widowControl/>
      </w:pPr>
      <w:r>
        <w:t>1.2. Datele de identificare ale Organizatorului sunt:</w:t>
      </w:r>
    </w:p>
    <w:tbl>
      <w:tblPr>
        <w:tblStyle w:val="TableGrid"/>
        <w:tblW w:type="auto" w:w="0"/>
        <w:jc w:val="center"/>
        <w:tblLook w:firstColumn="1" w:firstRow="1" w:lastColumn="0" w:lastRow="0" w:noHBand="0" w:noVBand="1" w:val="04A0"/>
      </w:tblPr>
      <w:tblGrid>
        <w:gridCol w:w="4929"/>
        <w:gridCol w:w="4929"/>
      </w:tblGrid>
      <w:tr>
        <w:tc>
          <w:tcPr>
            <w:tcW w:type="dxa" w:w="4929"/>
            <w:tcMar>
              <w:top w:w="80" w:type="dxa"/>
              <w:start w:w="100" w:type="dxa"/>
              <w:bottom w:w="80" w:type="dxa"/>
              <w:end w:w="100" w:type="dxa"/>
            </w:tcMar>
            <w:shd w:fill="FAF3F7"/>
          </w:tcPr>
          <w:p>
            <w:pPr>
              <w:spacing w:after="0" w:before="0"/>
            </w:pPr>
            <w:r>
              <w:rPr>
                <w:b/>
                <w:sz w:val="19"/>
              </w:rPr>
              <w:t>Denumire</w:t>
            </w:r>
          </w:p>
        </w:tc>
        <w:tc>
          <w:tcPr>
            <w:tcW w:type="dxa" w:w="4929"/>
            <w:tcMar>
              <w:top w:w="80" w:type="dxa"/>
              <w:start w:w="100" w:type="dxa"/>
              <w:bottom w:w="80" w:type="dxa"/>
              <w:end w:w="100" w:type="dxa"/>
            </w:tcMar>
            <w:shd w:fill="FAF3F7"/>
          </w:tcPr>
          <w:p>
            <w:pPr>
              <w:spacing w:after="0" w:before="0"/>
            </w:pPr>
            <w:r>
              <w:rPr>
                <w:sz w:val="19"/>
              </w:rPr>
              <w:t>S.C. PINK BEAUTY INTERNATIONAL S.R.L.</w:t>
            </w:r>
          </w:p>
        </w:tc>
      </w:tr>
      <w:tr>
        <w:tc>
          <w:tcPr>
            <w:tcW w:type="dxa" w:w="4929"/>
            <w:tcMar>
              <w:top w:w="80" w:type="dxa"/>
              <w:start w:w="100" w:type="dxa"/>
              <w:bottom w:w="80" w:type="dxa"/>
              <w:end w:w="100" w:type="dxa"/>
            </w:tcMar>
          </w:tcPr>
          <w:p>
            <w:pPr>
              <w:spacing w:after="0" w:before="0"/>
            </w:pPr>
            <w:r>
              <w:rPr>
                <w:b/>
                <w:sz w:val="19"/>
              </w:rPr>
              <w:t>CUI</w:t>
            </w:r>
          </w:p>
        </w:tc>
        <w:tc>
          <w:tcPr>
            <w:tcW w:type="dxa" w:w="4929"/>
            <w:tcMar>
              <w:top w:w="80" w:type="dxa"/>
              <w:start w:w="100" w:type="dxa"/>
              <w:bottom w:w="80" w:type="dxa"/>
              <w:end w:w="100" w:type="dxa"/>
            </w:tcMar>
          </w:tcPr>
          <w:p>
            <w:pPr>
              <w:spacing w:after="0" w:before="0"/>
            </w:pPr>
            <w:r>
              <w:rPr>
                <w:sz w:val="19"/>
              </w:rPr>
              <w:t>RO32006346</w:t>
            </w:r>
          </w:p>
        </w:tc>
      </w:tr>
      <w:tr>
        <w:tc>
          <w:tcPr>
            <w:tcW w:type="dxa" w:w="4929"/>
            <w:tcMar>
              <w:top w:w="80" w:type="dxa"/>
              <w:start w:w="100" w:type="dxa"/>
              <w:bottom w:w="80" w:type="dxa"/>
              <w:end w:w="100" w:type="dxa"/>
            </w:tcMar>
            <w:shd w:fill="FAF3F7"/>
          </w:tcPr>
          <w:p>
            <w:pPr>
              <w:spacing w:after="0" w:before="0"/>
            </w:pPr>
            <w:r>
              <w:rPr>
                <w:b/>
                <w:sz w:val="19"/>
              </w:rPr>
              <w:t>Registrul Comerțului</w:t>
            </w:r>
          </w:p>
        </w:tc>
        <w:tc>
          <w:tcPr>
            <w:tcW w:type="dxa" w:w="4929"/>
            <w:tcMar>
              <w:top w:w="80" w:type="dxa"/>
              <w:start w:w="100" w:type="dxa"/>
              <w:bottom w:w="80" w:type="dxa"/>
              <w:end w:w="100" w:type="dxa"/>
            </w:tcMar>
            <w:shd w:fill="FAF3F7"/>
          </w:tcPr>
          <w:p>
            <w:pPr>
              <w:spacing w:after="0" w:before="0"/>
            </w:pPr>
            <w:r>
              <w:rPr>
                <w:sz w:val="19"/>
              </w:rPr>
              <w:t>J40/8800/2013</w:t>
            </w:r>
          </w:p>
        </w:tc>
      </w:tr>
      <w:tr>
        <w:tc>
          <w:tcPr>
            <w:tcW w:type="dxa" w:w="4929"/>
            <w:tcMar>
              <w:top w:w="80" w:type="dxa"/>
              <w:start w:w="100" w:type="dxa"/>
              <w:bottom w:w="80" w:type="dxa"/>
              <w:end w:w="100" w:type="dxa"/>
            </w:tcMar>
          </w:tcPr>
          <w:p>
            <w:pPr>
              <w:spacing w:after="0" w:before="0"/>
            </w:pPr>
            <w:r>
              <w:rPr>
                <w:b/>
                <w:sz w:val="19"/>
              </w:rPr>
              <w:t>Sediu social</w:t>
            </w:r>
          </w:p>
        </w:tc>
        <w:tc>
          <w:tcPr>
            <w:tcW w:type="dxa" w:w="4929"/>
            <w:tcMar>
              <w:top w:w="80" w:type="dxa"/>
              <w:start w:w="100" w:type="dxa"/>
              <w:bottom w:w="80" w:type="dxa"/>
              <w:end w:w="100" w:type="dxa"/>
            </w:tcMar>
          </w:tcPr>
          <w:p>
            <w:pPr>
              <w:spacing w:after="0" w:before="0"/>
            </w:pPr>
            <w:r>
              <w:rPr>
                <w:sz w:val="19"/>
              </w:rPr>
              <w:t>Str. Paralutelor nr. 2B, București, Sector 6, România</w:t>
            </w:r>
          </w:p>
        </w:tc>
      </w:tr>
      <w:tr>
        <w:tc>
          <w:tcPr>
            <w:tcW w:type="dxa" w:w="4929"/>
            <w:tcMar>
              <w:top w:w="80" w:type="dxa"/>
              <w:start w:w="100" w:type="dxa"/>
              <w:bottom w:w="80" w:type="dxa"/>
              <w:end w:w="100" w:type="dxa"/>
            </w:tcMar>
            <w:shd w:fill="FAF3F7"/>
          </w:tcPr>
          <w:p>
            <w:pPr>
              <w:spacing w:after="0" w:before="0"/>
            </w:pPr>
            <w:r>
              <w:rPr>
                <w:b/>
                <w:sz w:val="19"/>
              </w:rPr>
              <w:t>Website</w:t>
            </w:r>
          </w:p>
        </w:tc>
        <w:tc>
          <w:tcPr>
            <w:tcW w:type="dxa" w:w="4929"/>
            <w:tcMar>
              <w:top w:w="80" w:type="dxa"/>
              <w:start w:w="100" w:type="dxa"/>
              <w:bottom w:w="80" w:type="dxa"/>
              <w:end w:w="100" w:type="dxa"/>
            </w:tcMar>
            <w:shd w:fill="FAF3F7"/>
          </w:tcPr>
          <w:p>
            <w:pPr>
              <w:spacing w:after="0" w:before="0"/>
            </w:pPr>
            <w:r>
              <w:rPr>
                <w:sz w:val="19"/>
              </w:rPr>
              <w:t>www.pinknails.ro</w:t>
            </w:r>
          </w:p>
        </w:tc>
      </w:tr>
      <w:tr>
        <w:tc>
          <w:tcPr>
            <w:tcW w:type="dxa" w:w="4929"/>
            <w:tcMar>
              <w:top w:w="80" w:type="dxa"/>
              <w:start w:w="100" w:type="dxa"/>
              <w:bottom w:w="80" w:type="dxa"/>
              <w:end w:w="100" w:type="dxa"/>
            </w:tcMar>
          </w:tcPr>
          <w:p>
            <w:pPr>
              <w:spacing w:after="0" w:before="0"/>
            </w:pPr>
            <w:r>
              <w:rPr>
                <w:b/>
                <w:sz w:val="19"/>
              </w:rPr>
              <w:t>E-mail</w:t>
            </w:r>
          </w:p>
        </w:tc>
        <w:tc>
          <w:tcPr>
            <w:tcW w:type="dxa" w:w="4929"/>
            <w:tcMar>
              <w:top w:w="80" w:type="dxa"/>
              <w:start w:w="100" w:type="dxa"/>
              <w:bottom w:w="80" w:type="dxa"/>
              <w:end w:w="100" w:type="dxa"/>
            </w:tcMar>
          </w:tcPr>
          <w:p>
            <w:pPr>
              <w:spacing w:after="0" w:before="0"/>
            </w:pPr>
            <w:r>
              <w:rPr>
                <w:sz w:val="19"/>
              </w:rPr>
              <w:t>office@pinknails.ro</w:t>
            </w:r>
          </w:p>
        </w:tc>
      </w:tr>
    </w:tbl>
    <w:p>
      <w:pPr>
        <w:pStyle w:val="ArticleHeading"/>
        <w:keepNext/>
        <w:widowControl/>
      </w:pPr>
      <w:r>
        <w:t>Art. 2 – DENUMIREA ȘI NATURA CAMPANIEI</w:t>
      </w:r>
    </w:p>
    <w:p>
      <w:pPr>
        <w:pStyle w:val="Clause"/>
        <w:keepLines w:val="0"/>
        <w:widowControl/>
        <w:widowControl/>
      </w:pPr>
      <w:r>
        <w:t>2.1. Campania poartă denumirea „Birthday Sale”.</w:t>
      </w:r>
    </w:p>
    <w:p>
      <w:pPr>
        <w:pStyle w:val="Clause"/>
        <w:keepLines w:val="0"/>
        <w:widowControl/>
        <w:widowControl/>
      </w:pPr>
      <w:r>
        <w:t>2.2. Campania reprezintă o acțiune promoțională de reducere a prețurilor pentru o selecție de produse comercializate pe www.pinknails.ro. Campania nu este loterie publicitară, concurs sau tombolă și nu presupune desemnarea unor câștigători.</w:t>
      </w:r>
    </w:p>
    <w:p>
      <w:pPr>
        <w:pStyle w:val="ArticleHeading"/>
        <w:keepNext/>
        <w:widowControl/>
      </w:pPr>
      <w:r>
        <w:t>Art. 3 – PERIOADA CAMPANIEI</w:t>
      </w:r>
    </w:p>
    <w:p>
      <w:pPr>
        <w:pStyle w:val="Clause"/>
        <w:keepLines w:val="0"/>
        <w:widowControl/>
        <w:widowControl/>
      </w:pPr>
      <w:r>
        <w:t>3.1. Campania se desfășoară în perioada 07.08.2026, ora 00:00:00 – 24.08.2026, ora 23:59:59, ora României.</w:t>
      </w:r>
    </w:p>
    <w:p>
      <w:pPr>
        <w:pStyle w:val="Clause"/>
        <w:keepLines w:val="0"/>
        <w:widowControl/>
        <w:widowControl/>
      </w:pPr>
      <w:r>
        <w:t>3.2. Sunt eligibile comenzile transmise și înregistrate în sistemul Organizatorului în intervalul prevăzut la art. 3.1.</w:t>
      </w:r>
    </w:p>
    <w:p>
      <w:pPr>
        <w:pStyle w:val="Clause"/>
        <w:keepLines w:val="0"/>
        <w:widowControl/>
        <w:widowControl/>
      </w:pPr>
      <w:r>
        <w:t>3.3. Comenzile începute înainte de expirarea campaniei, dar transmise după ora 23:59:59 din data de 24.08.2026, nu beneficiază automat de prețurile campaniei.</w:t>
      </w:r>
    </w:p>
    <w:p>
      <w:pPr>
        <w:pStyle w:val="ArticleHeading"/>
        <w:keepNext/>
        <w:widowControl/>
      </w:pPr>
      <w:r>
        <w:t>Art. 4 – ARIA DE DESFĂȘURARE</w:t>
      </w:r>
    </w:p>
    <w:p>
      <w:pPr>
        <w:pStyle w:val="Clause"/>
        <w:keepLines w:val="0"/>
        <w:widowControl/>
        <w:widowControl/>
      </w:pPr>
      <w:r>
        <w:t>4.1. Campania se desfășoară exclusiv online, prin intermediul website-ului www.pinknails.ro.</w:t>
      </w:r>
    </w:p>
    <w:p>
      <w:pPr>
        <w:pStyle w:val="Clause"/>
        <w:keepLines w:val="0"/>
        <w:widowControl/>
        <w:widowControl/>
      </w:pPr>
      <w:r>
        <w:t>4.2. Campania se aplică tuturor comenzilor eligibile plasate pe website, inclusiv comenzilor cu livrare internațională, în măsura în care livrarea către destinația aleasă este disponibilă și permisă de condițiile comerciale ale Organizatorului.</w:t>
      </w:r>
    </w:p>
    <w:p>
      <w:pPr>
        <w:pStyle w:val="ArticleHeading"/>
        <w:keepNext/>
        <w:widowControl/>
      </w:pPr>
      <w:r>
        <w:t>Art. 5 – PARTICIPANȚI</w:t>
      </w:r>
    </w:p>
    <w:p>
      <w:pPr>
        <w:pStyle w:val="Clause"/>
        <w:keepLines w:val="0"/>
        <w:widowControl/>
        <w:widowControl/>
      </w:pPr>
      <w:r>
        <w:t>5.1. Pot participa persoanele fizice și persoanele juridice care plasează o comandă eligibilă pe www.pinknails.ro în perioada campaniei.</w:t>
      </w:r>
    </w:p>
    <w:p>
      <w:pPr>
        <w:pStyle w:val="Clause"/>
        <w:keepLines w:val="0"/>
        <w:widowControl/>
        <w:widowControl/>
      </w:pPr>
      <w:r>
        <w:t>5.2. În cazul consumatorilor, drepturile obligatorii prevăzute de legislația privind protecția consumatorilor rămân aplicabile și nu sunt limitate prin prezentul regulament.</w:t>
      </w:r>
    </w:p>
    <w:p>
      <w:pPr>
        <w:pStyle w:val="Clause"/>
        <w:keepLines w:val="0"/>
        <w:widowControl/>
        <w:widowControl/>
      </w:pPr>
      <w:r>
        <w:t>5.3. Participanții trebuie să furnizeze date reale, complete și corecte pentru procesarea, facturarea și livrarea comenzii.</w:t>
      </w:r>
    </w:p>
    <w:p>
      <w:pPr>
        <w:pStyle w:val="ArticleHeading"/>
        <w:keepNext/>
        <w:widowControl/>
      </w:pPr>
      <w:r>
        <w:t>Art. 6 – PRODUSELE ELIGIBILE</w:t>
      </w:r>
    </w:p>
    <w:p>
      <w:pPr>
        <w:pStyle w:val="Clause"/>
        <w:keepLines w:val="0"/>
        <w:widowControl/>
        <w:widowControl/>
      </w:pPr>
      <w:r>
        <w:t>6.1. Reducerile se aplică numai unei selecții de produse, identificate și marcate în mod distinct pe website ca participante la campania „Birthday Sale”.</w:t>
      </w:r>
    </w:p>
    <w:p>
      <w:pPr>
        <w:pStyle w:val="Clause"/>
        <w:keepLines w:val="0"/>
        <w:widowControl/>
        <w:widowControl/>
      </w:pPr>
      <w:r>
        <w:t>6.2. Produsele care nu sunt marcate ca fiind incluse în campanie se comercializează la prețurile afișate în mod obișnuit și nu beneficiază de reducerea „Birthday Sale”.</w:t>
      </w:r>
    </w:p>
    <w:p>
      <w:pPr>
        <w:pStyle w:val="Clause"/>
        <w:keepLines w:val="0"/>
        <w:widowControl/>
        <w:widowControl/>
      </w:pPr>
      <w:r>
        <w:t>6.3. Selecția produselor eligibile poate varia pe durata campaniei, în funcție de disponibilitatea stocului și de condițiile comerciale, fără a afecta prețul comenzilor deja confirmate de Organizator.</w:t>
      </w:r>
    </w:p>
    <w:p>
      <w:pPr>
        <w:pStyle w:val="Clause"/>
        <w:keepLines w:val="0"/>
        <w:widowControl/>
        <w:widowControl/>
      </w:pPr>
      <w:r>
        <w:t>6.4. Reducerile se acordă în limita stocului disponibil pentru fiecare produs eligibil.</w:t>
      </w:r>
    </w:p>
    <w:p>
      <w:pPr>
        <w:pStyle w:val="ArticleHeading"/>
        <w:keepNext/>
        <w:widowControl/>
      </w:pPr>
      <w:r>
        <w:t>Art. 7 – MECANISMUL CAMPANIEI ȘI AFIȘAREA PREȚURILOR</w:t>
      </w:r>
    </w:p>
    <w:p>
      <w:pPr>
        <w:pStyle w:val="Clause"/>
        <w:keepLines w:val="0"/>
        <w:widowControl/>
        <w:widowControl/>
      </w:pPr>
      <w:r>
        <w:t>7.1. Reducerea este stabilită și aplicată individual pentru fiecare produs eligibil. Procentul sau valoarea reducerii poate fi diferită de la un produs la altul.</w:t>
      </w:r>
    </w:p>
    <w:p>
      <w:pPr>
        <w:pStyle w:val="Clause"/>
        <w:keepLines w:val="0"/>
        <w:widowControl/>
        <w:widowControl/>
      </w:pPr>
      <w:r>
        <w:t>7.2. Prețul promoțional este afișat pe pagina produsului eligibil și se aplică automat în coșul de cumpărături, fără introducerea unui cod special pentru activarea reducerii „Birthday Sale”.</w:t>
      </w:r>
    </w:p>
    <w:p>
      <w:pPr>
        <w:pStyle w:val="Clause"/>
        <w:keepLines w:val="0"/>
        <w:widowControl/>
        <w:widowControl/>
      </w:pPr>
      <w:r>
        <w:t>7.3. Pentru fiecare anunț de reducere, prețul anterior este afișat și determinat potrivit legislației aplicabile, ca fiind cel mai scăzut preț practicat de Organizator în aceeași suprafață de vânzare în perioada ultimelor 30 de zile înainte de aplicarea reducerii, cu respectarea excepțiilor și regulilor speciale prevăzute de lege.</w:t>
      </w:r>
    </w:p>
    <w:p>
      <w:pPr>
        <w:pStyle w:val="Clause"/>
        <w:keepLines w:val="0"/>
        <w:widowControl/>
        <w:widowControl/>
      </w:pPr>
      <w:r>
        <w:t>7.4. Dacă reducerea este majorată treptat pe parcursul aceleiași campanii, stabilirea și afișarea prețului anterior se realizează conform dispozițiilor legale aplicabile reducerilor progresive.</w:t>
      </w:r>
    </w:p>
    <w:p>
      <w:pPr>
        <w:pStyle w:val="Clause"/>
        <w:keepLines w:val="0"/>
        <w:widowControl/>
        <w:widowControl/>
      </w:pPr>
      <w:r>
        <w:t>7.5. Prețul final datorat pentru produs este cel afișat în sumarul comenzii înainte de transmiterea acesteia și confirmat ulterior de Organizator, la care se pot adăuga costurile de livrare sau alte costuri comunicate în mod clar înainte de plasarea comenzii.</w:t>
      </w:r>
    </w:p>
    <w:p>
      <w:pPr>
        <w:pStyle w:val="Clause"/>
        <w:keepLines w:val="0"/>
        <w:widowControl/>
        <w:widowControl/>
      </w:pPr>
      <w:r>
        <w:t>7.6. Reducerea nu se aplică taxelor de livrare și altor servicii auxiliare, cu excepția situației în care Organizatorul comunică în mod expres contrariul.</w:t>
      </w:r>
    </w:p>
    <w:p>
      <w:pPr>
        <w:pStyle w:val="ArticleHeading"/>
        <w:keepNext/>
        <w:widowControl/>
      </w:pPr>
      <w:r>
        <w:t>Art. 8 – NECUMULAREA CU BENEFICIILE GRUPURILOR DE CLIENȚI</w:t>
      </w:r>
    </w:p>
    <w:p>
      <w:pPr>
        <w:pStyle w:val="Clause"/>
        <w:keepLines w:val="0"/>
        <w:widowControl/>
        <w:widowControl/>
      </w:pPr>
      <w:r>
        <w:t>8.1. Pe durata campaniei „Birthday Sale”, clienții încadrați în grupuri, niveluri sau categorii speciale de client nu beneficiază de avantajele comerciale aferente acelor grupuri peste prețurile campaniei.</w:t>
      </w:r>
    </w:p>
    <w:p>
      <w:pPr>
        <w:pStyle w:val="Clause"/>
        <w:keepLines w:val="0"/>
        <w:widowControl/>
        <w:widowControl/>
      </w:pPr>
      <w:r>
        <w:t>8.2. Sunt suspendate temporar, pe durata campaniei, inclusiv reducerile suplimentare de grup, beneficiile Pink Nails Club, cadourile de tip Gift Bag, serviciile de tip Priority Support și orice alte avantaje comerciale asociate nivelului sau grupului de client, în măsura în care acestea ar conduce la un beneficiu suplimentar față de prețul „Birthday Sale”.</w:t>
      </w:r>
    </w:p>
    <w:p>
      <w:pPr>
        <w:pStyle w:val="Clause"/>
        <w:keepLines w:val="0"/>
        <w:widowControl/>
        <w:widowControl/>
      </w:pPr>
      <w:r>
        <w:t>8.3. Încadrarea clientului într-un grup sau nivel nu este anulată. Beneficiile standard se reactivează după încheierea campaniei, începând cu 25.08.2026, conform regulilor programului aplicabile la acel moment.</w:t>
      </w:r>
    </w:p>
    <w:p>
      <w:pPr>
        <w:pStyle w:val="Clause"/>
        <w:keepLines w:val="0"/>
        <w:widowControl/>
        <w:widowControl/>
      </w:pPr>
      <w:r>
        <w:t>8.4. Singurul program de beneficii care rămâne activ pe durata campaniei este Programul de Puncte de Loialitate, în condițiile art. 10.</w:t>
      </w:r>
    </w:p>
    <w:p>
      <w:pPr>
        <w:pStyle w:val="ArticleHeading"/>
        <w:keepNext/>
        <w:widowControl/>
      </w:pPr>
      <w:r>
        <w:t>Art. 9 – CODURI DE REDUCERE, VOUCHERE ȘI CUPOANE</w:t>
      </w:r>
    </w:p>
    <w:p>
      <w:pPr>
        <w:pStyle w:val="Clause"/>
        <w:keepLines w:val="0"/>
        <w:widowControl/>
        <w:widowControl/>
      </w:pPr>
      <w:r>
        <w:t>9.1. Reducerile „Birthday Sale” nu se cumulează cu alte coduri de reducere, vouchere sau cupoane promoționale, cu excepția cazului în care Organizatorul indică în mod expres, în condițiile respectivului cod sau voucher, că acesta este compatibil cu prezenta campanie.</w:t>
      </w:r>
    </w:p>
    <w:p>
      <w:pPr>
        <w:pStyle w:val="Clause"/>
        <w:keepLines w:val="0"/>
        <w:widowControl/>
        <w:widowControl/>
      </w:pPr>
      <w:r>
        <w:t>9.2. În cazul în care un cod incompatibil este introdus în coș, sistemul poate refuza aplicarea acestuia sau poate păstra avantajul comercial permis potrivit condițiilor afișate.</w:t>
      </w:r>
    </w:p>
    <w:p>
      <w:pPr>
        <w:pStyle w:val="Clause"/>
        <w:keepLines w:val="0"/>
        <w:widowControl/>
        <w:widowControl/>
      </w:pPr>
      <w:r>
        <w:t>9.3. Utilizarea punctelor de loialitate nu este considerată cod de reducere și rămâne permisă în condițiile standard ale programului.</w:t>
      </w:r>
    </w:p>
    <w:p>
      <w:pPr>
        <w:pStyle w:val="ArticleHeading"/>
        <w:keepNext/>
        <w:widowControl/>
      </w:pPr>
      <w:r>
        <w:t>Art. 10 – PROGRAMUL DE PUNCTE DE LOIALITATE</w:t>
      </w:r>
    </w:p>
    <w:p>
      <w:pPr>
        <w:pStyle w:val="Clause"/>
        <w:keepLines w:val="0"/>
        <w:widowControl/>
        <w:widowControl/>
      </w:pPr>
      <w:r>
        <w:t>10.1. Programul de Puncte de Loialitate rămâne activ pe întreaga durată a campaniei „Birthday Sale”, atât în ceea ce privește acordarea, cât și utilizarea punctelor, în limitele și condițiile standard ale programului.</w:t>
      </w:r>
    </w:p>
    <w:p>
      <w:pPr>
        <w:pStyle w:val="Clause"/>
        <w:keepLines w:val="0"/>
        <w:widowControl/>
        <w:widowControl/>
      </w:pPr>
      <w:r>
        <w:t>10.2. Potrivit regulilor standard indicate de Organizator, programul include: bonus de 15 lei la prima comandă realizată dintr-un cont de client, acordarea a 5% din valoarea eligibilă finală a comenzii sub formă de puncte și acordarea a 2 lei pentru fiecare review valid, în limita a 10 review-uri pentru fiecare client.</w:t>
      </w:r>
    </w:p>
    <w:p>
      <w:pPr>
        <w:pStyle w:val="Clause"/>
        <w:keepLines w:val="0"/>
        <w:widowControl/>
        <w:widowControl/>
      </w:pPr>
      <w:r>
        <w:t>10.3. Punctele procentuale se calculează la valoarea finală eligibilă a comenzii, după aplicarea reducerilor „Birthday Sale” și a oricăror ajustări permise de prezentul regulament, conform regulilor tehnice ale programului.</w:t>
      </w:r>
    </w:p>
    <w:p>
      <w:pPr>
        <w:pStyle w:val="Clause"/>
        <w:keepLines w:val="0"/>
        <w:widowControl/>
        <w:widowControl/>
      </w:pPr>
      <w:r>
        <w:t>10.4. Punctele se activează după 20 de zile de la expedierea comenzii și sunt valabile 12 luni de la activare, cu condiția ca produsele să fi fost ridicate și să nu fi fost returnate.</w:t>
      </w:r>
    </w:p>
    <w:p>
      <w:pPr>
        <w:pStyle w:val="Clause"/>
        <w:keepLines w:val="0"/>
        <w:widowControl/>
        <w:widowControl/>
      </w:pPr>
      <w:r>
        <w:t>10.5. În cazul anulării sau returnării totale ori parțiale a comenzii, punctele aferente produselor anulate sau returnate nu se acordă ori, după caz, se retrag din contul clientului.</w:t>
      </w:r>
    </w:p>
    <w:p>
      <w:pPr>
        <w:pStyle w:val="Clause"/>
        <w:keepLines w:val="0"/>
        <w:widowControl/>
        <w:widowControl/>
      </w:pPr>
      <w:r>
        <w:t>10.6. În cazul unei neconcordanțe tehnice sau al unei modificări legale, se aplică regulile Programului de Puncte de Loialitate publicate pe website, în măsura în care acestea nu contravin prezentului regulament și legislației aplicabile.</w:t>
      </w:r>
    </w:p>
    <w:p>
      <w:pPr>
        <w:pStyle w:val="ArticleHeading"/>
        <w:keepNext/>
        <w:widowControl/>
      </w:pPr>
      <w:r>
        <w:t>Art. 11 – STOC ȘI DISPONIBILITATE</w:t>
      </w:r>
    </w:p>
    <w:p>
      <w:pPr>
        <w:pStyle w:val="Clause"/>
        <w:keepLines w:val="0"/>
        <w:widowControl/>
        <w:widowControl/>
      </w:pPr>
      <w:r>
        <w:t>11.1. Produsele sunt disponibile în limita stocului existent. Organizatorul nu garantează menținerea în stoc a tuturor produselor eligibile până la finalul campaniei.</w:t>
      </w:r>
    </w:p>
    <w:p>
      <w:pPr>
        <w:pStyle w:val="Clause"/>
        <w:keepLines w:val="0"/>
        <w:widowControl/>
        <w:widowControl/>
      </w:pPr>
      <w:r>
        <w:t>11.2. Adăugarea unui produs în coș nu echivalează cu rezervarea stocului. Rezervarea și acceptarea comenzii intervin potrivit Termenilor și condițiilor website-ului și confirmării transmise de Organizator.</w:t>
      </w:r>
    </w:p>
    <w:p>
      <w:pPr>
        <w:pStyle w:val="Clause"/>
        <w:keepLines w:val="0"/>
        <w:widowControl/>
        <w:widowControl/>
      </w:pPr>
      <w:r>
        <w:t>11.3. În cazul epuizării stocului, produsul poate fi marcat „Stoc epuizat”, poate fi eliminat din selecția campaniei sau poate deveni indisponibil pentru comandă.</w:t>
      </w:r>
    </w:p>
    <w:p>
      <w:pPr>
        <w:pStyle w:val="ArticleHeading"/>
        <w:keepNext/>
        <w:widowControl/>
      </w:pPr>
      <w:r>
        <w:t>Art. 12 – PLASAREA ȘI CONFIRMAREA COMENZILOR</w:t>
      </w:r>
    </w:p>
    <w:p>
      <w:pPr>
        <w:pStyle w:val="Clause"/>
        <w:keepLines w:val="0"/>
        <w:widowControl/>
        <w:widowControl/>
      </w:pPr>
      <w:r>
        <w:t>12.1. Comanda este supusă verificării disponibilității produselor, corectitudinii prețurilor, datelor de identificare și condițiilor de plată și livrare.</w:t>
      </w:r>
    </w:p>
    <w:p>
      <w:pPr>
        <w:pStyle w:val="Clause"/>
        <w:keepLines w:val="0"/>
        <w:widowControl/>
        <w:widowControl/>
      </w:pPr>
      <w:r>
        <w:t>12.2. Contractul de vânzare se consideră încheiat în condițiile prevăzute în Termenii și condițiile publicate pe website.</w:t>
      </w:r>
    </w:p>
    <w:p>
      <w:pPr>
        <w:pStyle w:val="Clause"/>
        <w:keepLines w:val="0"/>
        <w:widowControl/>
        <w:widowControl/>
      </w:pPr>
      <w:r>
        <w:t>12.3. Organizatorul poate solicita informații suplimentare necesare validării unei comenzi, fără a aplica tratamente discriminatorii între participanți.</w:t>
      </w:r>
    </w:p>
    <w:p>
      <w:pPr>
        <w:pStyle w:val="ArticleHeading"/>
        <w:keepNext/>
        <w:widowControl/>
      </w:pPr>
      <w:r>
        <w:t>Art. 13 – PLATĂ ȘI LIVRARE</w:t>
      </w:r>
    </w:p>
    <w:p>
      <w:pPr>
        <w:pStyle w:val="Clause"/>
        <w:keepLines w:val="0"/>
        <w:widowControl/>
        <w:widowControl/>
      </w:pPr>
      <w:r>
        <w:t>13.1. Metodele de plată, costurile și termenele de livrare sunt cele afișate pe website la momentul plasării comenzii.</w:t>
      </w:r>
    </w:p>
    <w:p>
      <w:pPr>
        <w:pStyle w:val="Clause"/>
        <w:keepLines w:val="0"/>
        <w:widowControl/>
        <w:widowControl/>
      </w:pPr>
      <w:r>
        <w:t>13.2. Participarea la campanie nu modifică regulile generale privind plata, livrarea, recepția produselor sau verificarea coletului, cu excepția mențiunilor promoționale comunicate expres de Organizator.</w:t>
      </w:r>
    </w:p>
    <w:p>
      <w:pPr>
        <w:pStyle w:val="Clause"/>
        <w:keepLines w:val="0"/>
        <w:widowControl/>
        <w:widowControl/>
      </w:pPr>
      <w:r>
        <w:t>13.3. Întârzierile cauzate exclusiv de transportator, de situații de forță majoră sau de împrejurări independente de voința Organizatorului vor fi gestionate potrivit legii și condițiilor contractuale aplicabile.</w:t>
      </w:r>
    </w:p>
    <w:p>
      <w:pPr>
        <w:pStyle w:val="ArticleHeading"/>
        <w:keepNext/>
        <w:widowControl/>
      </w:pPr>
      <w:r>
        <w:t>Art. 14 – RETURURI, RETRAGERE ȘI ANULĂRI</w:t>
      </w:r>
    </w:p>
    <w:p>
      <w:pPr>
        <w:pStyle w:val="Clause"/>
        <w:keepLines w:val="0"/>
        <w:widowControl/>
        <w:widowControl/>
      </w:pPr>
      <w:r>
        <w:t>14.1. Dreptul consumatorului de retragere din contract și politica de retur rămân aplicabile și nu sunt limitate de participarea la campanie.</w:t>
      </w:r>
    </w:p>
    <w:p>
      <w:pPr>
        <w:pStyle w:val="Clause"/>
        <w:keepLines w:val="0"/>
        <w:widowControl/>
        <w:widowControl/>
      </w:pPr>
      <w:r>
        <w:t>14.2. În cazurile în care dreptul legal de retragere este aplicabil, consumatorul beneficiază de termenul prevăzut de O.U.G. nr. 34/2014, de regulă 14 zile de la primirea bunurilor, cu respectarea excepțiilor legale.</w:t>
      </w:r>
    </w:p>
    <w:p>
      <w:pPr>
        <w:pStyle w:val="Clause"/>
        <w:keepLines w:val="0"/>
        <w:widowControl/>
        <w:widowControl/>
      </w:pPr>
      <w:r>
        <w:t>14.3. Pentru produsele returnate se restituie suma efectiv achitată pentru acestea, în condițiile și termenele prevăzute de lege și de politica de retur.</w:t>
      </w:r>
    </w:p>
    <w:p>
      <w:pPr>
        <w:pStyle w:val="Clause"/>
        <w:keepLines w:val="0"/>
        <w:widowControl/>
        <w:widowControl/>
      </w:pPr>
      <w:r>
        <w:t>14.4. În cazul anulării sau returnării parțiale, prețurile produselor nereturnate rămân cele confirmate în comanda inițială, iar punctele de loialitate se recalculează conform valorii finale eligibile.</w:t>
      </w:r>
    </w:p>
    <w:p>
      <w:pPr>
        <w:pStyle w:val="Clause"/>
        <w:keepLines w:val="0"/>
        <w:widowControl/>
        <w:widowControl/>
      </w:pPr>
      <w:r>
        <w:t>14.5. Produsele exceptate de la dreptul de retragere potrivit legii sunt tratate conform informațiilor furnizate înainte de plasarea comenzii.</w:t>
      </w:r>
    </w:p>
    <w:p>
      <w:pPr>
        <w:pStyle w:val="ArticleHeading"/>
        <w:keepNext/>
        <w:widowControl/>
      </w:pPr>
      <w:r>
        <w:t>Art. 15 – ERORI TEHNICE ȘI ERORI EVIDENTE</w:t>
      </w:r>
    </w:p>
    <w:p>
      <w:pPr>
        <w:pStyle w:val="Clause"/>
        <w:keepLines w:val="0"/>
        <w:widowControl/>
        <w:widowControl/>
      </w:pPr>
      <w:r>
        <w:t>15.1. În cazul unei erori tehnice evidente, al unui preț manifest nerealist sau al unei afișări cauzate de o defecțiune, Organizatorul va informa participantul fără întârziere nejustificată și va aplica soluția permisă de lege, inclusiv corectarea informației pentru viitor.</w:t>
      </w:r>
    </w:p>
    <w:p>
      <w:pPr>
        <w:pStyle w:val="Clause"/>
        <w:keepLines w:val="0"/>
        <w:widowControl/>
        <w:widowControl/>
      </w:pPr>
      <w:r>
        <w:t>15.2. Nicio prevedere a prezentului articol nu permite Organizatorului să înlăture drepturile obligatorii ale consumatorilor sau să invoce în mod abuziv existența unei erori.</w:t>
      </w:r>
    </w:p>
    <w:p>
      <w:pPr>
        <w:pStyle w:val="Clause"/>
        <w:keepLines w:val="0"/>
        <w:widowControl/>
        <w:widowControl/>
      </w:pPr>
      <w:r>
        <w:t>15.3. Problemele de acces la website, întreruperile temporare sau incompatibilitățile tehnice independente de Organizator nu conferă automat dreptul la prelungirea campaniei ori la aplicarea retroactivă a unei reduceri.</w:t>
      </w:r>
    </w:p>
    <w:p>
      <w:pPr>
        <w:pStyle w:val="ArticleHeading"/>
        <w:keepNext/>
        <w:widowControl/>
      </w:pPr>
      <w:r>
        <w:t>Art. 16 – PROTECȚIA DATELOR CU CARACTER PERSONAL</w:t>
      </w:r>
    </w:p>
    <w:p>
      <w:pPr>
        <w:pStyle w:val="Clause"/>
        <w:keepLines w:val="0"/>
        <w:widowControl/>
        <w:widowControl/>
      </w:pPr>
      <w:r>
        <w:t>16.1. Datele cu caracter personal sunt prelucrate pentru administrarea comenzilor, facturare, plată, livrare, suport, prevenirea fraudelor și îndeplinirea obligațiilor legale, conform Regulamentului (UE) 2016/679, Legii nr. 190/2018 și Politicii de confidențialitate publicate pe website.</w:t>
      </w:r>
    </w:p>
    <w:p>
      <w:pPr>
        <w:pStyle w:val="Clause"/>
        <w:keepLines w:val="0"/>
        <w:widowControl/>
        <w:widowControl/>
      </w:pPr>
      <w:r>
        <w:t>16.2. Participanții își pot exercita drepturile privind accesul, rectificarea, ștergerea, restricționarea, portabilitatea și opoziția, în condițiile legii, printr-o solicitare transmisă la office@pinknails.ro.</w:t>
      </w:r>
    </w:p>
    <w:p>
      <w:pPr>
        <w:pStyle w:val="Clause"/>
        <w:keepLines w:val="0"/>
        <w:widowControl/>
        <w:widowControl/>
      </w:pPr>
      <w:r>
        <w:t>16.3. Participarea la campanie nu condiționează consimțământul pentru comunicări comerciale. Comunicările de marketing sunt transmise numai în baza temeiului legal aplicabil.</w:t>
      </w:r>
    </w:p>
    <w:p>
      <w:pPr>
        <w:pStyle w:val="ArticleHeading"/>
        <w:keepNext/>
        <w:widowControl/>
      </w:pPr>
      <w:r>
        <w:t>Art. 17 – RĂSPUNDERE ȘI FORȚĂ MAJORĂ</w:t>
      </w:r>
    </w:p>
    <w:p>
      <w:pPr>
        <w:pStyle w:val="Clause"/>
        <w:keepLines w:val="0"/>
        <w:widowControl/>
        <w:widowControl/>
      </w:pPr>
      <w:r>
        <w:t>17.1. Organizatorul răspunde potrivit legii pentru obligațiile sale și nu exclude ori limitează răspunderea în situațiile în care o astfel de limitare este interzisă.</w:t>
      </w:r>
    </w:p>
    <w:p>
      <w:pPr>
        <w:pStyle w:val="Clause"/>
        <w:keepLines w:val="0"/>
        <w:widowControl/>
        <w:widowControl/>
      </w:pPr>
      <w:r>
        <w:t>17.2. Organizatorul nu este răspunzător pentru neexecutarea ori întârzierea determinată de forță majoră, caz fortuit sau cauze externe pe care nu le putea controla în mod rezonabil, în condițiile legii.</w:t>
      </w:r>
    </w:p>
    <w:p>
      <w:pPr>
        <w:pStyle w:val="Clause"/>
        <w:keepLines w:val="0"/>
        <w:widowControl/>
        <w:widowControl/>
      </w:pPr>
      <w:r>
        <w:t>17.3. Participantul este responsabil pentru exactitatea datelor transmise și pentru păstrarea confidențialității datelor de autentificare ale contului său.</w:t>
      </w:r>
    </w:p>
    <w:p>
      <w:pPr>
        <w:pStyle w:val="ArticleHeading"/>
        <w:keepNext/>
        <w:widowControl/>
      </w:pPr>
      <w:r>
        <w:t>Art. 18 – MODIFICAREA, SUSPENDAREA SAU ÎNCETAREA CAMPANIEI</w:t>
      </w:r>
    </w:p>
    <w:p>
      <w:pPr>
        <w:pStyle w:val="Clause"/>
        <w:keepLines w:val="0"/>
        <w:widowControl/>
        <w:widowControl/>
      </w:pPr>
      <w:r>
        <w:t>18.1. Organizatorul poate modifica, suspenda sau înceta anticipat campania numai pentru motive obiective, inclusiv modificări legislative, cerințe ale autorităților, incidente tehnice majore, lipsa stocului ori situații de forță majoră.</w:t>
      </w:r>
    </w:p>
    <w:p>
      <w:pPr>
        <w:pStyle w:val="Clause"/>
        <w:keepLines w:val="0"/>
        <w:widowControl/>
        <w:widowControl/>
      </w:pPr>
      <w:r>
        <w:t>18.2. Orice modificare produce efecte numai pentru viitor și va fi publicată pe www.pinknails.ro înainte de aplicare, în măsura în care împrejurările permit.</w:t>
      </w:r>
    </w:p>
    <w:p>
      <w:pPr>
        <w:pStyle w:val="Clause"/>
        <w:keepLines w:val="0"/>
        <w:widowControl/>
        <w:widowControl/>
      </w:pPr>
      <w:r>
        <w:t>18.3. Modificările nu afectează comenzile confirmate anterior și nu pot restrânge drepturile deja dobândite de consumatori.</w:t>
      </w:r>
    </w:p>
    <w:p>
      <w:pPr>
        <w:pStyle w:val="ArticleHeading"/>
        <w:keepNext/>
        <w:widowControl/>
      </w:pPr>
      <w:r>
        <w:t>Art. 19 – RECLAMAȚII ȘI LITIGII</w:t>
      </w:r>
    </w:p>
    <w:p>
      <w:pPr>
        <w:pStyle w:val="Clause"/>
        <w:keepLines w:val="0"/>
        <w:widowControl/>
        <w:widowControl/>
      </w:pPr>
      <w:r>
        <w:t>19.1. Sesizările privind campania pot fi transmise Organizatorului la adresa office@pinknails.ro, pentru soluționare pe cale amiabilă.</w:t>
      </w:r>
    </w:p>
    <w:p>
      <w:pPr>
        <w:pStyle w:val="Clause"/>
        <w:keepLines w:val="0"/>
        <w:widowControl/>
        <w:widowControl/>
      </w:pPr>
      <w:r>
        <w:t>19.2. Consumatorii se pot adresa Autorității Naționale pentru Protecția Consumatorilor (ANPC) și pot utiliza mecanismul de Soluționare Alternativă a Litigiilor (SAL) disponibil prin platforma oficială ANPC.</w:t>
      </w:r>
    </w:p>
    <w:p>
      <w:pPr>
        <w:pStyle w:val="Clause"/>
        <w:keepLines w:val="0"/>
        <w:widowControl/>
        <w:widowControl/>
      </w:pPr>
      <w:r>
        <w:t>19.3. În cazul în care soluționarea amiabilă nu este posibilă, litigiile vor fi soluționate de instanțele judecătorești competente, potrivit legislației aplicabile.</w:t>
      </w:r>
    </w:p>
    <w:p>
      <w:pPr>
        <w:pStyle w:val="Clause"/>
        <w:keepLines w:val="0"/>
        <w:widowControl/>
        <w:widowControl/>
      </w:pPr>
      <w:r>
        <w:t>19.4. Pentru consumatorii din alte state, rămân aplicabile normele imperative de protecție din statul de reședință, atunci când acestea nu pot fi înlăturate prin alegerea legii române.</w:t>
      </w:r>
    </w:p>
    <w:p>
      <w:pPr>
        <w:pStyle w:val="ArticleHeading"/>
        <w:keepNext/>
        <w:widowControl/>
      </w:pPr>
      <w:r>
        <w:t>Art. 20 – ACCEPTAREA ȘI DISPONIBILITATEA REGULAMENTULUI</w:t>
      </w:r>
    </w:p>
    <w:p>
      <w:pPr>
        <w:pStyle w:val="Clause"/>
        <w:keepLines w:val="0"/>
        <w:widowControl/>
        <w:widowControl/>
      </w:pPr>
      <w:r>
        <w:t>20.1. Plasarea unei comenzi în cadrul campaniei presupune luarea la cunoștință și acceptarea prezentului regulament.</w:t>
      </w:r>
    </w:p>
    <w:p>
      <w:pPr>
        <w:pStyle w:val="Clause"/>
        <w:keepLines w:val="0"/>
        <w:widowControl/>
        <w:widowControl/>
      </w:pPr>
      <w:r>
        <w:t>20.2. Regulamentul este disponibil gratuit pe www.pinknails.ro pe durata campaniei și poate fi solicitat Organizatorului în format electronic.</w:t>
      </w:r>
    </w:p>
    <w:p>
      <w:pPr>
        <w:pStyle w:val="Clause"/>
        <w:keepLines w:val="0"/>
        <w:widowControl/>
        <w:widowControl/>
      </w:pPr>
      <w:r>
        <w:t>20.3. Prezentul regulament se completează cu Termenii și condițiile, Politica de retur, Politica de confidențialitate și regulile Programului de Puncte de Loialitate publicate pe website. În caz de conflict, prevalează dispozițiile legale obligatorii și prevederile specifice prezentului regulament pentru campania „Birthday Sale”.</w:t>
      </w:r>
    </w:p>
    <w:p>
      <w:pPr>
        <w:pStyle w:val="ArticleHeading"/>
        <w:keepNext/>
        <w:widowControl/>
      </w:pPr>
      <w:r>
        <w:t>Art. 21 – LEGISLAȚIA APLICABILĂ</w:t>
      </w:r>
    </w:p>
    <w:p>
      <w:pPr>
        <w:pStyle w:val="Clause"/>
        <w:keepLines w:val="0"/>
        <w:widowControl/>
        <w:widowControl/>
      </w:pPr>
      <w:r>
        <w:t>21.1. Prezentul regulament este guvernat de legislația română, cu respectarea normelor imperative aplicabile consumatorilor.</w:t>
      </w:r>
    </w:p>
    <w:p>
      <w:pPr>
        <w:pStyle w:val="Clause"/>
        <w:keepLines w:val="0"/>
        <w:widowControl/>
        <w:widowControl/>
      </w:pPr>
      <w:r>
        <w:t>21.2. La redactarea regulamentului au fost avute în vedere, în principal, următoarele acte normative, în forma în vigoare și cu modificările ulterioare:</w:t>
      </w:r>
    </w:p>
    <w:p>
      <w:pPr>
        <w:pStyle w:val="BulletLegal"/>
        <w:keepLines w:val="0"/>
        <w:widowControl/>
        <w:widowControl/>
      </w:pPr>
      <w:r>
        <w:rPr>
          <w:b/>
        </w:rPr>
        <w:t xml:space="preserve">• </w:t>
      </w:r>
      <w:r>
        <w:t>Ordonanța Guvernului nr. 99/2000 privind comercializarea produselor și serviciilor de piață;</w:t>
      </w:r>
    </w:p>
    <w:p>
      <w:pPr>
        <w:pStyle w:val="BulletLegal"/>
        <w:keepLines w:val="0"/>
        <w:widowControl/>
        <w:widowControl/>
      </w:pPr>
      <w:r>
        <w:rPr>
          <w:b/>
        </w:rPr>
        <w:t xml:space="preserve">• </w:t>
      </w:r>
      <w:r>
        <w:t>Hotărârea Guvernului nr. 947/2000 privind modalitatea de indicare a prețurilor produselor oferite consumatorilor spre vânzare, inclusiv modificările privind prețul anterior;</w:t>
      </w:r>
    </w:p>
    <w:p>
      <w:pPr>
        <w:pStyle w:val="BulletLegal"/>
        <w:keepLines w:val="0"/>
        <w:widowControl/>
        <w:widowControl/>
      </w:pPr>
      <w:r>
        <w:rPr>
          <w:b/>
        </w:rPr>
        <w:t xml:space="preserve">• </w:t>
      </w:r>
      <w:r>
        <w:t>Ordonanța de urgență a Guvernului nr. 34/2014 privind drepturile consumatorilor în cadrul contractelor încheiate cu profesioniștii;</w:t>
      </w:r>
    </w:p>
    <w:p>
      <w:pPr>
        <w:pStyle w:val="BulletLegal"/>
        <w:keepLines w:val="0"/>
        <w:widowControl/>
        <w:widowControl/>
      </w:pPr>
      <w:r>
        <w:rPr>
          <w:b/>
        </w:rPr>
        <w:t xml:space="preserve">• </w:t>
      </w:r>
      <w:r>
        <w:t>Legea nr. 363/2007 privind combaterea practicilor incorecte ale comercianților în relația cu consumatorii;</w:t>
      </w:r>
    </w:p>
    <w:p>
      <w:pPr>
        <w:pStyle w:val="BulletLegal"/>
        <w:keepLines w:val="0"/>
        <w:widowControl/>
        <w:widowControl/>
      </w:pPr>
      <w:r>
        <w:rPr>
          <w:b/>
        </w:rPr>
        <w:t xml:space="preserve">• </w:t>
      </w:r>
      <w:r>
        <w:t>Legea nr. 296/2004 privind Codul consumului;</w:t>
      </w:r>
    </w:p>
    <w:p>
      <w:pPr>
        <w:pStyle w:val="BulletLegal"/>
        <w:keepLines w:val="0"/>
        <w:widowControl/>
        <w:widowControl/>
      </w:pPr>
      <w:r>
        <w:rPr>
          <w:b/>
        </w:rPr>
        <w:t xml:space="preserve">• </w:t>
      </w:r>
      <w:r>
        <w:t>Ordonanța Guvernului nr. 21/1992 privind protecția consumatorilor;</w:t>
      </w:r>
    </w:p>
    <w:p>
      <w:pPr>
        <w:pStyle w:val="BulletLegal"/>
        <w:keepLines w:val="0"/>
        <w:widowControl/>
        <w:widowControl/>
      </w:pPr>
      <w:r>
        <w:rPr>
          <w:b/>
        </w:rPr>
        <w:t xml:space="preserve">• </w:t>
      </w:r>
      <w:r>
        <w:t>Regulamentul (UE) 2016/679 privind protecția datelor cu caracter personal (GDPR) și Legea nr. 190/2018.</w:t>
      </w:r>
    </w:p>
    <w:p>
      <w:pPr>
        <w:pStyle w:val="ArticleHeading"/>
        <w:keepNext/>
        <w:widowControl/>
      </w:pPr>
      <w:r>
        <w:t>INFORMAȚII UTILE</w:t>
      </w:r>
    </w:p>
    <w:p>
      <w:pPr>
        <w:pStyle w:val="Clause"/>
        <w:keepLines w:val="0"/>
        <w:widowControl/>
      </w:pPr>
      <w:r>
        <w:t xml:space="preserve">Website campanie: </w:t>
      </w:r>
      <w:hyperlink r:id="rId11">
        <w:r>
          <w:rPr>
            <w:color w:val="C2185B"/>
            <w:u w:val="single"/>
          </w:rPr>
          <w:t>www.pinknails.ro</w:t>
        </w:r>
      </w:hyperlink>
    </w:p>
    <w:p>
      <w:pPr>
        <w:pStyle w:val="Clause"/>
        <w:keepLines w:val="0"/>
        <w:widowControl/>
      </w:pPr>
      <w:r>
        <w:t xml:space="preserve">Platforma SAL ANPC: </w:t>
      </w:r>
      <w:hyperlink r:id="rId12">
        <w:r>
          <w:rPr>
            <w:color w:val="C2185B"/>
            <w:u w:val="single"/>
          </w:rPr>
          <w:t>reclamatiisal.anpc.ro</w:t>
        </w:r>
      </w:hyperlink>
    </w:p>
    <w:p>
      <w:pPr>
        <w:pStyle w:val="Clause"/>
        <w:keepLines w:val="0"/>
        <w:widowControl/>
      </w:pPr>
      <w:r>
        <w:t xml:space="preserve">Portal reclamații ANPC: </w:t>
      </w:r>
      <w:hyperlink r:id="rId13">
        <w:r>
          <w:rPr>
            <w:color w:val="C2185B"/>
            <w:u w:val="single"/>
          </w:rPr>
          <w:t>eservicii.anpc.ro</w:t>
        </w:r>
      </w:hyperlink>
    </w:p>
    <w:p>
      <w:pPr>
        <w:spacing w:before="160"/>
        <w:keepLines w:val="0"/>
        <w:widowControl/>
      </w:pPr>
    </w:p>
    <w:tbl>
      <w:tblPr>
        <w:tblW w:type="auto" w:w="0"/>
        <w:jc w:val="center"/>
        <w:tblLayout w:type="autofit"/>
        <w:tblLook w:firstColumn="1" w:firstRow="1" w:lastColumn="0" w:lastRow="0" w:noHBand="0" w:noVBand="1" w:val="04A0"/>
      </w:tblPr>
      <w:tblGrid>
        <w:gridCol w:w="4929"/>
        <w:gridCol w:w="4929"/>
      </w:tblGrid>
      <w:tr>
        <w:tc>
          <w:tcPr>
            <w:tcW w:type="dxa" w:w="4929"/>
            <w:tcMar>
              <w:top w:w="100" w:type="dxa"/>
              <w:start w:w="120" w:type="dxa"/>
              <w:bottom w:w="100" w:type="dxa"/>
              <w:end w:w="120" w:type="dxa"/>
            </w:tcMar>
            <w:shd w:fill="FCECF3"/>
          </w:tcPr>
          <w:p>
            <w:pPr>
              <w:spacing w:after="0"/>
            </w:pPr>
            <w:r>
              <w:rPr>
                <w:b/>
                <w:sz w:val="19"/>
              </w:rPr>
              <w:t>Data publicării:</w:t>
            </w:r>
          </w:p>
        </w:tc>
        <w:tc>
          <w:tcPr>
            <w:tcW w:type="dxa" w:w="4929"/>
            <w:tcMar>
              <w:top w:w="100" w:type="dxa"/>
              <w:start w:w="120" w:type="dxa"/>
              <w:bottom w:w="100" w:type="dxa"/>
              <w:end w:w="120" w:type="dxa"/>
            </w:tcMar>
          </w:tcPr>
          <w:p>
            <w:pPr>
              <w:spacing w:after="0"/>
            </w:pPr>
            <w:r>
              <w:rPr>
                <w:sz w:val="19"/>
              </w:rPr>
              <w:t>06.08.2026</w:t>
            </w:r>
          </w:p>
        </w:tc>
      </w:tr>
      <w:tr>
        <w:tc>
          <w:tcPr>
            <w:tcW w:type="dxa" w:w="4929"/>
            <w:tcMar>
              <w:top w:w="100" w:type="dxa"/>
              <w:start w:w="120" w:type="dxa"/>
              <w:bottom w:w="100" w:type="dxa"/>
              <w:end w:w="120" w:type="dxa"/>
            </w:tcMar>
            <w:shd w:fill="FCECF3"/>
          </w:tcPr>
          <w:p>
            <w:pPr>
              <w:spacing w:after="0"/>
            </w:pPr>
            <w:r>
              <w:rPr>
                <w:b/>
                <w:sz w:val="19"/>
              </w:rPr>
              <w:t>Organizator:</w:t>
            </w:r>
          </w:p>
        </w:tc>
        <w:tc>
          <w:tcPr>
            <w:tcW w:type="dxa" w:w="4929"/>
            <w:tcMar>
              <w:top w:w="100" w:type="dxa"/>
              <w:start w:w="120" w:type="dxa"/>
              <w:bottom w:w="100" w:type="dxa"/>
              <w:end w:w="120" w:type="dxa"/>
            </w:tcMar>
          </w:tcPr>
          <w:p>
            <w:pPr>
              <w:spacing w:after="0"/>
            </w:pPr>
            <w:r>
              <w:rPr>
                <w:sz w:val="19"/>
              </w:rPr>
              <w:t>S.C. PINK BEAUTY INTERNATIONAL S.R.L.</w:t>
            </w:r>
          </w:p>
        </w:tc>
      </w:tr>
      <w:tr>
        <w:tc>
          <w:tcPr>
            <w:tcW w:type="dxa" w:w="4929"/>
            <w:tcMar>
              <w:top w:w="100" w:type="dxa"/>
              <w:start w:w="120" w:type="dxa"/>
              <w:bottom w:w="100" w:type="dxa"/>
              <w:end w:w="120" w:type="dxa"/>
            </w:tcMar>
            <w:shd w:fill="FCECF3"/>
          </w:tcPr>
          <w:p>
            <w:pPr>
              <w:spacing w:after="0"/>
            </w:pPr>
            <w:r>
              <w:rPr>
                <w:b/>
                <w:sz w:val="19"/>
              </w:rPr>
              <w:t>Campanie:</w:t>
            </w:r>
          </w:p>
        </w:tc>
        <w:tc>
          <w:tcPr>
            <w:tcW w:type="dxa" w:w="4929"/>
            <w:tcMar>
              <w:top w:w="100" w:type="dxa"/>
              <w:start w:w="120" w:type="dxa"/>
              <w:bottom w:w="100" w:type="dxa"/>
              <w:end w:w="120" w:type="dxa"/>
            </w:tcMar>
          </w:tcPr>
          <w:p>
            <w:pPr>
              <w:spacing w:after="0"/>
            </w:pPr>
            <w:r>
              <w:rPr>
                <w:sz w:val="19"/>
              </w:rPr>
              <w:t>BIRTHDAY SALE | 07.08.2026 – 24.08.2026</w:t>
            </w:r>
          </w:p>
        </w:tc>
      </w:tr>
    </w:tbl>
    <w:sectPr w:rsidR="00FC693F" w:rsidRPr="0006063C" w:rsidSect="00034616">
      <w:headerReference w:type="default" r:id="rId9"/>
      <w:footerReference w:type="default" r:id="rId10"/>
      <w:pgSz w:w="12240" w:h="15840"/>
      <w:pgMar w:top="850" w:right="1191" w:bottom="822" w:left="1191" w:header="397" w:footer="397"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sz w:val="18"/>
      </w:rPr>
      <w:t xml:space="preserve">Pagina </w:t>
      <w:fldChar w:fldCharType="begin"/>
      <w:instrText xml:space="preserve"> PAGE </w:instrText>
      <w:fldChar w:fldCharType="end"/>
    </w:r>
    <w:r>
      <w:rPr>
        <w:sz w:val="18"/>
      </w:rPr>
      <w:t xml:space="preserve"> din </w:t>
    </w:r>
    <w:r>
      <w:fldChar w:fldCharType="begin"/>
      <w:instrText xml:space="preserve"> NUMPAGES </w:instrTex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Bdr>
        <w:bottom w:val="single" w:sz="6" w:space="2" w:color="E7A7C1"/>
      </w:pBdr>
    </w:pPr>
    <w:r>
      <w:rPr>
        <w:rFonts w:ascii="Aptos" w:hAnsi="Aptos"/>
        <w:b/>
        <w:color w:val="7A1446"/>
        <w:sz w:val="17"/>
      </w:rPr>
      <w:t>PINK NAILS  |  REGULAMENT OFICIAL</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80" w:line="250" w:lineRule="auto"/>
    </w:pPr>
    <w:rPr>
      <w:rFonts w:ascii="Aptos" w:hAnsi="Aptos"/>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Heading">
    <w:name w:val="Article Heading"/>
    <w:pPr>
      <w:keepNext/>
      <w:spacing w:before="160" w:after="80"/>
    </w:pPr>
    <w:rPr>
      <w:rFonts w:ascii="Aptos Display" w:hAnsi="Aptos Display"/>
      <w:b/>
      <w:color w:val="7A1446"/>
      <w:sz w:val="24"/>
    </w:rPr>
  </w:style>
  <w:style w:type="paragraph" w:customStyle="1" w:styleId="Clause">
    <w:name w:val="Clause"/>
    <w:pPr>
      <w:spacing w:after="60" w:line="250" w:lineRule="auto"/>
      <w:ind w:left="142" w:hanging="142"/>
    </w:pPr>
    <w:rPr>
      <w:rFonts w:ascii="Aptos" w:hAnsi="Aptos"/>
      <w:sz w:val="20"/>
    </w:rPr>
  </w:style>
  <w:style w:type="paragraph" w:customStyle="1" w:styleId="BulletLegal">
    <w:name w:val="Bullet Legal"/>
    <w:pPr>
      <w:spacing w:after="20"/>
      <w:ind w:left="369" w:hanging="170"/>
    </w:pPr>
    <w:rPr>
      <w:rFonts w:ascii="Aptos" w:hAnsi="Aptos"/>
      <w:sz w:val="19"/>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hyperlink" Target="https://www.pinknails.ro" TargetMode="External"/><Relationship Id="rId12" Type="http://schemas.openxmlformats.org/officeDocument/2006/relationships/hyperlink" Target="https://reclamatiisal.anpc.ro" TargetMode="External"/><Relationship Id="rId13" Type="http://schemas.openxmlformats.org/officeDocument/2006/relationships/hyperlink" Target="https://eservicii.anpc.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Regulament oficial campanie Birthday Sale 07.08.2026 - 24.08.2026</dc:title>
  <dc:subject>Campanie promoțională Pink Nails</dc:subject>
  <dc:creator>S.C. PINK BEAUTY INTERNATIONAL S.R.L.</dc:creator>
  <cp:keywords>Pink Nails, Birthday Sale, regulament, campanie promoțională, reduceri</cp:keywords>
  <dc:description>Document redactat pentru publicare pe www.pinknails.ro.</dc:description>
  <cp:lastModifiedBy/>
  <cp:revision>1</cp:revision>
  <dcterms:created xsi:type="dcterms:W3CDTF">2013-12-23T23:15:00Z</dcterms:created>
  <dcterms:modified xsi:type="dcterms:W3CDTF">2013-12-23T23:15:00Z</dcterms:modified>
  <cp:category/>
</cp:coreProperties>
</file>