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9752" w14:textId="77777777" w:rsidR="00081289" w:rsidRDefault="00787A95">
      <w:pPr>
        <w:spacing w:line="623" w:lineRule="exact"/>
        <w:ind w:right="-9"/>
        <w:rPr>
          <w:rFonts w:ascii="Times New Roman" w:eastAsia="Times New Roman" w:hAnsi="Times New Roman" w:cs="Times New Roman"/>
          <w:sz w:val="20"/>
          <w:szCs w:val="20"/>
        </w:rPr>
      </w:pPr>
      <w:r>
        <w:pict w14:anchorId="27A558D7">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05987DD3">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7DD011F5" w14:textId="77777777" w:rsidR="00081289" w:rsidRDefault="00081289">
      <w:pPr>
        <w:rPr>
          <w:rFonts w:ascii="Times New Roman" w:eastAsia="Times New Roman" w:hAnsi="Times New Roman" w:cs="Times New Roman"/>
          <w:sz w:val="20"/>
          <w:szCs w:val="20"/>
        </w:rPr>
      </w:pPr>
    </w:p>
    <w:p w14:paraId="324DD6CC" w14:textId="77777777" w:rsidR="00081289" w:rsidRDefault="00081289">
      <w:pPr>
        <w:rPr>
          <w:rFonts w:ascii="Times New Roman" w:eastAsia="Times New Roman" w:hAnsi="Times New Roman" w:cs="Times New Roman"/>
          <w:sz w:val="20"/>
          <w:szCs w:val="20"/>
        </w:rPr>
      </w:pPr>
    </w:p>
    <w:p w14:paraId="6F360E13" w14:textId="77777777" w:rsidR="00081289" w:rsidRDefault="00081289">
      <w:pPr>
        <w:spacing w:before="3"/>
        <w:rPr>
          <w:rFonts w:ascii="Times New Roman" w:eastAsia="Times New Roman" w:hAnsi="Times New Roman" w:cs="Times New Roman"/>
          <w:sz w:val="17"/>
          <w:szCs w:val="17"/>
        </w:rPr>
      </w:pPr>
    </w:p>
    <w:p w14:paraId="07C6D110" w14:textId="77777777" w:rsidR="00081289" w:rsidRDefault="00787A95">
      <w:pPr>
        <w:spacing w:line="360" w:lineRule="exact"/>
        <w:ind w:left="5296"/>
        <w:rPr>
          <w:rFonts w:ascii="Times New Roman" w:eastAsia="Times New Roman" w:hAnsi="Times New Roman" w:cs="Times New Roman"/>
          <w:sz w:val="20"/>
          <w:szCs w:val="20"/>
        </w:rPr>
      </w:pPr>
      <w:r>
        <w:rPr>
          <w:rFonts w:ascii="Times New Roman"/>
          <w:sz w:val="20"/>
        </w:rPr>
      </w:r>
      <w:r>
        <w:rPr>
          <w:rFonts w:ascii="Times New Roman"/>
          <w:sz w:val="20"/>
        </w:rPr>
        <w:pict w14:anchorId="487AA842">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Pr>
          <w:rFonts w:ascii="Times New Roman"/>
          <w:sz w:val="20"/>
        </w:rPr>
        <w:t xml:space="preserve"> </w:t>
      </w:r>
      <w:r>
        <w:rPr>
          <w:rFonts w:ascii="Times New Roman"/>
          <w:sz w:val="20"/>
        </w:rPr>
      </w:r>
      <w:r>
        <w:rPr>
          <w:rFonts w:ascii="Times New Roman"/>
          <w:sz w:val="20"/>
        </w:rPr>
        <w:pict w14:anchorId="20685963">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Pr>
          <w:rFonts w:ascii="Times New Roman"/>
          <w:sz w:val="20"/>
        </w:rPr>
        <w:t xml:space="preserve"> </w:t>
      </w:r>
      <w:r>
        <w:rPr>
          <w:rFonts w:ascii="Times New Roman"/>
          <w:sz w:val="20"/>
        </w:rPr>
      </w:r>
      <w:r>
        <w:rPr>
          <w:rFonts w:ascii="Times New Roman"/>
          <w:sz w:val="20"/>
        </w:rPr>
        <w:pict w14:anchorId="6CE0C92D">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714F047D" w14:textId="77777777" w:rsidR="00081289" w:rsidRDefault="00081289">
      <w:pPr>
        <w:spacing w:before="5"/>
        <w:rPr>
          <w:rFonts w:ascii="Times New Roman" w:eastAsia="Times New Roman" w:hAnsi="Times New Roman" w:cs="Times New Roman"/>
          <w:sz w:val="7"/>
          <w:szCs w:val="7"/>
        </w:rPr>
      </w:pPr>
    </w:p>
    <w:p w14:paraId="7F6C19A8" w14:textId="77777777" w:rsidR="00081289" w:rsidRDefault="00787A95">
      <w:pPr>
        <w:spacing w:line="166" w:lineRule="exact"/>
        <w:ind w:left="5618"/>
        <w:rPr>
          <w:rFonts w:ascii="Times New Roman" w:eastAsia="Times New Roman" w:hAnsi="Times New Roman" w:cs="Times New Roman"/>
          <w:sz w:val="16"/>
          <w:szCs w:val="16"/>
        </w:rPr>
      </w:pPr>
      <w:r>
        <w:rPr>
          <w:rFonts w:ascii="Times New Roman"/>
          <w:sz w:val="16"/>
        </w:rPr>
      </w:r>
      <w:r>
        <w:rPr>
          <w:rFonts w:ascii="Times New Roman"/>
          <w:sz w:val="16"/>
        </w:rPr>
        <w:pict w14:anchorId="478FE81B">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Pr>
          <w:rFonts w:ascii="Times New Roman"/>
          <w:sz w:val="16"/>
        </w:rPr>
        <w:t xml:space="preserve"> </w:t>
      </w:r>
      <w:r>
        <w:rPr>
          <w:rFonts w:ascii="Times New Roman"/>
          <w:sz w:val="16"/>
        </w:rPr>
      </w:r>
      <w:r>
        <w:rPr>
          <w:rFonts w:ascii="Times New Roman"/>
          <w:sz w:val="16"/>
        </w:rPr>
        <w:pict w14:anchorId="770DBC2D">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712131BF" w14:textId="77777777" w:rsidR="00081289" w:rsidRDefault="00081289">
      <w:pPr>
        <w:rPr>
          <w:rFonts w:ascii="Times New Roman" w:eastAsia="Times New Roman" w:hAnsi="Times New Roman" w:cs="Times New Roman"/>
          <w:sz w:val="20"/>
          <w:szCs w:val="20"/>
        </w:rPr>
      </w:pPr>
    </w:p>
    <w:p w14:paraId="217E65FF" w14:textId="77777777" w:rsidR="00081289" w:rsidRDefault="00081289">
      <w:pPr>
        <w:spacing w:before="7"/>
        <w:rPr>
          <w:rFonts w:ascii="Times New Roman" w:eastAsia="Times New Roman" w:hAnsi="Times New Roman" w:cs="Times New Roman"/>
          <w:sz w:val="18"/>
          <w:szCs w:val="18"/>
        </w:rPr>
      </w:pPr>
    </w:p>
    <w:p w14:paraId="091BB9FD" w14:textId="77777777" w:rsidR="00081289" w:rsidRDefault="00787A95">
      <w:pPr>
        <w:ind w:left="1438" w:right="1426"/>
        <w:jc w:val="center"/>
        <w:rPr>
          <w:rFonts w:ascii="Gill Sans MT" w:eastAsia="Gill Sans MT" w:hAnsi="Gill Sans MT" w:cs="Gill Sans MT"/>
          <w:sz w:val="23"/>
          <w:szCs w:val="23"/>
        </w:rPr>
      </w:pPr>
      <w:r>
        <w:rPr>
          <w:rFonts w:ascii="Gill Sans MT"/>
          <w:b/>
          <w:sz w:val="23"/>
        </w:rPr>
        <w:t>CECI 1938 SPUMANT BRUT</w:t>
      </w:r>
    </w:p>
    <w:p w14:paraId="07BAC3EE" w14:textId="77777777" w:rsidR="00081289" w:rsidRDefault="00081289">
      <w:pPr>
        <w:spacing w:before="10"/>
        <w:rPr>
          <w:rFonts w:ascii="Gill Sans MT" w:eastAsia="Gill Sans MT" w:hAnsi="Gill Sans MT" w:cs="Gill Sans MT"/>
          <w:b/>
          <w:bCs/>
          <w:sz w:val="17"/>
          <w:szCs w:val="17"/>
        </w:rPr>
      </w:pPr>
    </w:p>
    <w:p w14:paraId="22FB2A99" w14:textId="77777777" w:rsidR="00081289" w:rsidRPr="00787A95" w:rsidRDefault="00787A95">
      <w:pPr>
        <w:ind w:left="1436" w:right="1434"/>
        <w:jc w:val="center"/>
        <w:rPr>
          <w:rFonts w:ascii="Tahoma" w:eastAsia="Arial" w:hAnsi="Tahoma" w:cs="Tahoma"/>
          <w:sz w:val="18"/>
          <w:szCs w:val="18"/>
        </w:rPr>
      </w:pPr>
      <w:r w:rsidRPr="00787A95">
        <w:rPr>
          <w:rFonts w:ascii="Tahoma" w:hAnsi="Tahoma" w:cs="Tahoma"/>
          <w:i/>
          <w:sz w:val="18"/>
          <w:szCs w:val="18"/>
        </w:rPr>
        <w:t>„Talentul este un dar, însă caracterul este o alegere.” (J.C. Maxwell)</w:t>
      </w:r>
    </w:p>
    <w:p w14:paraId="189DFEB6" w14:textId="77777777" w:rsidR="00081289" w:rsidRPr="00787A95" w:rsidRDefault="00787A95">
      <w:pPr>
        <w:pStyle w:val="Corptext"/>
        <w:spacing w:before="104" w:line="256" w:lineRule="auto"/>
        <w:ind w:left="1438" w:right="1434"/>
        <w:jc w:val="center"/>
        <w:rPr>
          <w:rFonts w:ascii="Tahoma" w:hAnsi="Tahoma" w:cs="Tahoma"/>
          <w:sz w:val="18"/>
          <w:szCs w:val="18"/>
        </w:rPr>
      </w:pPr>
      <w:r w:rsidRPr="00787A95">
        <w:rPr>
          <w:rFonts w:ascii="Tahoma" w:hAnsi="Tahoma" w:cs="Tahoma"/>
          <w:sz w:val="18"/>
          <w:szCs w:val="18"/>
        </w:rPr>
        <w:t>CECI 1938 pune în valoare două daruri ale pământului: Chardonnay și Pinot Noir. Două personaje care se completează într-o uniune în care fiecare oferă ce e mai bun din propria natură caracteristicilor celuilalt. Talentul acestor două soiuri de struguri est</w:t>
      </w:r>
      <w:r w:rsidRPr="00787A95">
        <w:rPr>
          <w:rFonts w:ascii="Tahoma" w:hAnsi="Tahoma" w:cs="Tahoma"/>
          <w:sz w:val="18"/>
          <w:szCs w:val="18"/>
        </w:rPr>
        <w:t>e exprimat în povestea pe care o spun despre teritoriul de producție și despre cei care produc acest vin. Ceci alege armonia, dozând prospețimea și savoarea, notele fructate și florale, structura și eleganța. Alegerea reprezintă un dar al talentului.</w:t>
      </w:r>
    </w:p>
    <w:p w14:paraId="00413867" w14:textId="77777777" w:rsidR="00081289" w:rsidRPr="00787A95" w:rsidRDefault="00081289">
      <w:pPr>
        <w:rPr>
          <w:rFonts w:ascii="Tahoma" w:eastAsia="Arial" w:hAnsi="Tahoma" w:cs="Tahoma"/>
          <w:sz w:val="18"/>
          <w:szCs w:val="18"/>
        </w:rPr>
      </w:pPr>
    </w:p>
    <w:p w14:paraId="611D884E" w14:textId="77777777" w:rsidR="00081289" w:rsidRPr="00787A95" w:rsidRDefault="00081289">
      <w:pPr>
        <w:spacing w:before="9"/>
        <w:rPr>
          <w:rFonts w:ascii="Tahoma" w:eastAsia="Arial" w:hAnsi="Tahoma" w:cs="Tahoma"/>
          <w:sz w:val="18"/>
          <w:szCs w:val="18"/>
        </w:rPr>
      </w:pPr>
    </w:p>
    <w:p w14:paraId="4502FDB7" w14:textId="77777777" w:rsidR="00081289" w:rsidRPr="00787A95" w:rsidRDefault="00787A95" w:rsidP="00787A95">
      <w:pPr>
        <w:pStyle w:val="Titlu1"/>
        <w:ind w:right="711"/>
        <w:rPr>
          <w:rFonts w:ascii="Tahoma" w:hAnsi="Tahoma" w:cs="Tahoma"/>
          <w:b w:val="0"/>
          <w:bCs w:val="0"/>
        </w:rPr>
      </w:pPr>
      <w:r w:rsidRPr="00787A95">
        <w:rPr>
          <w:rFonts w:ascii="Tahoma" w:hAnsi="Tahoma" w:cs="Tahoma"/>
        </w:rPr>
        <w:pict w14:anchorId="64F8EED3">
          <v:group id="18986" o:spid="_x0000_s1026" style="position:absolute;left:0;text-align:left;margin-left:59.8pt;margin-top:-12.5pt;width:191.55pt;height:564.35pt;z-index:1192;mso-position-horizontal-relative:page" coordorigin="1196,-250" coordsize="3831,11287">
            <v:shape id="19238" o:spid="_x0000_s1028" type="#_x0000_t75" style="position:absolute;left:1196;top:-250;width:3830;height:9865">
              <v:imagedata r:id="rId6" o:title=""/>
            </v:shape>
            <v:shape id="19397" o:spid="_x0000_s1027" type="#_x0000_t75" style="position:absolute;left:1196;top:8255;width:3830;height:2782">
              <v:imagedata r:id="rId7" o:title=""/>
            </v:shape>
            <w10:wrap anchorx="page"/>
          </v:group>
        </w:pict>
      </w:r>
      <w:r w:rsidRPr="00787A95">
        <w:rPr>
          <w:rFonts w:ascii="Tahoma" w:hAnsi="Tahoma" w:cs="Tahoma"/>
        </w:rPr>
        <w:t>FIȘĂ TEHNICĂ</w:t>
      </w:r>
    </w:p>
    <w:p w14:paraId="1ECC347E" w14:textId="77777777" w:rsidR="00081289" w:rsidRPr="00787A95" w:rsidRDefault="00787A95" w:rsidP="00787A95">
      <w:pPr>
        <w:spacing w:before="148"/>
        <w:ind w:left="5497" w:right="711"/>
        <w:rPr>
          <w:rFonts w:ascii="Tahoma" w:eastAsia="Arial" w:hAnsi="Tahoma" w:cs="Tahoma"/>
          <w:sz w:val="18"/>
          <w:szCs w:val="18"/>
        </w:rPr>
      </w:pPr>
      <w:r w:rsidRPr="00787A95">
        <w:rPr>
          <w:rFonts w:ascii="Tahoma" w:hAnsi="Tahoma" w:cs="Tahoma"/>
          <w:b/>
          <w:sz w:val="18"/>
          <w:szCs w:val="18"/>
        </w:rPr>
        <w:t xml:space="preserve">Denumire: </w:t>
      </w:r>
      <w:r w:rsidRPr="00787A95">
        <w:rPr>
          <w:rFonts w:ascii="Tahoma" w:hAnsi="Tahoma" w:cs="Tahoma"/>
          <w:sz w:val="18"/>
          <w:szCs w:val="18"/>
        </w:rPr>
        <w:t>Spumant din struguri Chardonnay și Pinot Noir</w:t>
      </w:r>
    </w:p>
    <w:p w14:paraId="160A854D" w14:textId="77777777" w:rsidR="00787A95" w:rsidRDefault="00787A95" w:rsidP="00787A95">
      <w:pPr>
        <w:spacing w:before="94" w:line="350" w:lineRule="auto"/>
        <w:ind w:left="5497" w:right="711"/>
        <w:rPr>
          <w:rFonts w:ascii="Tahoma" w:hAnsi="Tahoma" w:cs="Tahoma"/>
          <w:sz w:val="18"/>
          <w:szCs w:val="18"/>
        </w:rPr>
      </w:pPr>
      <w:r w:rsidRPr="00787A95">
        <w:rPr>
          <w:rFonts w:ascii="Tahoma" w:hAnsi="Tahoma" w:cs="Tahoma"/>
          <w:b/>
          <w:sz w:val="18"/>
          <w:szCs w:val="18"/>
        </w:rPr>
        <w:t xml:space="preserve">Tip: </w:t>
      </w:r>
      <w:r w:rsidRPr="00787A95">
        <w:rPr>
          <w:rFonts w:ascii="Tahoma" w:hAnsi="Tahoma" w:cs="Tahoma"/>
          <w:sz w:val="18"/>
          <w:szCs w:val="18"/>
        </w:rPr>
        <w:t>vin spumant alb brut</w:t>
      </w:r>
      <w:r w:rsidRPr="00787A95">
        <w:rPr>
          <w:rFonts w:ascii="Tahoma" w:hAnsi="Tahoma" w:cs="Tahoma"/>
          <w:sz w:val="18"/>
          <w:szCs w:val="18"/>
        </w:rPr>
        <w:br/>
      </w:r>
      <w:r w:rsidRPr="00787A95">
        <w:rPr>
          <w:rFonts w:ascii="Tahoma" w:hAnsi="Tahoma" w:cs="Tahoma"/>
          <w:b/>
          <w:sz w:val="18"/>
          <w:szCs w:val="18"/>
        </w:rPr>
        <w:t>Soiuri de struguri</w:t>
      </w:r>
      <w:r w:rsidRPr="00787A95">
        <w:rPr>
          <w:rFonts w:ascii="Tahoma" w:hAnsi="Tahoma" w:cs="Tahoma"/>
          <w:b/>
          <w:sz w:val="18"/>
          <w:szCs w:val="18"/>
        </w:rPr>
        <w:t>:</w:t>
      </w:r>
      <w:r w:rsidRPr="00787A95">
        <w:rPr>
          <w:rFonts w:ascii="Tahoma" w:hAnsi="Tahoma" w:cs="Tahoma"/>
          <w:b/>
          <w:sz w:val="18"/>
          <w:szCs w:val="18"/>
        </w:rPr>
        <w:t xml:space="preserve"> </w:t>
      </w:r>
      <w:r w:rsidRPr="00787A95">
        <w:rPr>
          <w:rFonts w:ascii="Tahoma" w:hAnsi="Tahoma" w:cs="Tahoma"/>
          <w:sz w:val="18"/>
          <w:szCs w:val="18"/>
        </w:rPr>
        <w:t xml:space="preserve">Chardonnay și Pinot Gri </w:t>
      </w:r>
    </w:p>
    <w:p w14:paraId="1B06858A" w14:textId="599301C4" w:rsidR="00081289" w:rsidRPr="00787A95" w:rsidRDefault="00787A95" w:rsidP="00787A95">
      <w:pPr>
        <w:spacing w:before="94" w:line="350" w:lineRule="auto"/>
        <w:ind w:left="5497" w:right="711"/>
        <w:rPr>
          <w:rFonts w:ascii="Tahoma" w:eastAsia="Arial" w:hAnsi="Tahoma" w:cs="Tahoma"/>
          <w:sz w:val="18"/>
          <w:szCs w:val="18"/>
        </w:rPr>
      </w:pPr>
      <w:r w:rsidRPr="00787A95">
        <w:rPr>
          <w:rFonts w:ascii="Tahoma" w:hAnsi="Tahoma" w:cs="Tahoma"/>
          <w:b/>
          <w:sz w:val="18"/>
          <w:szCs w:val="18"/>
        </w:rPr>
        <w:t>Recoltare:</w:t>
      </w:r>
      <w:r w:rsidRPr="00787A95">
        <w:rPr>
          <w:rFonts w:ascii="Tahoma" w:hAnsi="Tahoma" w:cs="Tahoma"/>
          <w:b/>
          <w:sz w:val="18"/>
          <w:szCs w:val="18"/>
        </w:rPr>
        <w:t xml:space="preserve"> </w:t>
      </w:r>
      <w:r>
        <w:rPr>
          <w:rFonts w:ascii="Tahoma" w:hAnsi="Tahoma" w:cs="Tahoma"/>
          <w:sz w:val="18"/>
          <w:szCs w:val="18"/>
        </w:rPr>
        <w:t>j</w:t>
      </w:r>
      <w:r w:rsidRPr="00787A95">
        <w:rPr>
          <w:rFonts w:ascii="Tahoma" w:hAnsi="Tahoma" w:cs="Tahoma"/>
          <w:sz w:val="18"/>
          <w:szCs w:val="18"/>
        </w:rPr>
        <w:t>umătatea/sfârșitul lunii august</w:t>
      </w:r>
    </w:p>
    <w:p w14:paraId="643DC8B6" w14:textId="77777777" w:rsidR="00081289" w:rsidRPr="00787A95" w:rsidRDefault="00787A95" w:rsidP="00787A95">
      <w:pPr>
        <w:spacing w:line="205" w:lineRule="exact"/>
        <w:ind w:left="5497" w:right="711"/>
        <w:rPr>
          <w:rFonts w:ascii="Tahoma" w:eastAsia="Arial" w:hAnsi="Tahoma" w:cs="Tahoma"/>
          <w:sz w:val="18"/>
          <w:szCs w:val="18"/>
        </w:rPr>
      </w:pPr>
      <w:r w:rsidRPr="00787A95">
        <w:rPr>
          <w:rFonts w:ascii="Tahoma" w:hAnsi="Tahoma" w:cs="Tahoma"/>
          <w:b/>
          <w:sz w:val="18"/>
          <w:szCs w:val="18"/>
        </w:rPr>
        <w:t xml:space="preserve">Sol: </w:t>
      </w:r>
      <w:r w:rsidRPr="00787A95">
        <w:rPr>
          <w:rFonts w:ascii="Tahoma" w:hAnsi="Tahoma" w:cs="Tahoma"/>
          <w:sz w:val="18"/>
          <w:szCs w:val="18"/>
        </w:rPr>
        <w:t>argilos/nămolos cu textură medie</w:t>
      </w:r>
    </w:p>
    <w:p w14:paraId="5C6AEE7B" w14:textId="77777777" w:rsidR="00787A95" w:rsidRDefault="00787A95" w:rsidP="00787A95">
      <w:pPr>
        <w:spacing w:before="104" w:line="352" w:lineRule="auto"/>
        <w:ind w:left="5497" w:right="711"/>
        <w:rPr>
          <w:rFonts w:ascii="Tahoma" w:hAnsi="Tahoma" w:cs="Tahoma"/>
          <w:sz w:val="18"/>
          <w:szCs w:val="18"/>
        </w:rPr>
      </w:pPr>
      <w:r w:rsidRPr="00787A95">
        <w:rPr>
          <w:rFonts w:ascii="Tahoma" w:hAnsi="Tahoma" w:cs="Tahoma"/>
          <w:b/>
          <w:bCs/>
          <w:sz w:val="18"/>
          <w:szCs w:val="18"/>
        </w:rPr>
        <w:t xml:space="preserve">Vinificație: </w:t>
      </w:r>
      <w:r w:rsidRPr="00787A95">
        <w:rPr>
          <w:rFonts w:ascii="Tahoma" w:hAnsi="Tahoma" w:cs="Tahoma"/>
          <w:sz w:val="18"/>
          <w:szCs w:val="18"/>
        </w:rPr>
        <w:t>în alb</w:t>
      </w:r>
      <w:r w:rsidRPr="00787A95">
        <w:rPr>
          <w:rFonts w:ascii="Tahoma" w:hAnsi="Tahoma" w:cs="Tahoma"/>
          <w:sz w:val="18"/>
          <w:szCs w:val="18"/>
        </w:rPr>
        <w:br/>
      </w:r>
      <w:r w:rsidRPr="00787A95">
        <w:rPr>
          <w:rFonts w:ascii="Tahoma" w:hAnsi="Tahoma" w:cs="Tahoma"/>
          <w:b/>
          <w:bCs/>
          <w:sz w:val="18"/>
          <w:szCs w:val="18"/>
        </w:rPr>
        <w:t>Prelucrare</w:t>
      </w:r>
      <w:r w:rsidRPr="00787A95">
        <w:rPr>
          <w:rFonts w:ascii="Tahoma" w:hAnsi="Tahoma" w:cs="Tahoma"/>
          <w:b/>
          <w:bCs/>
          <w:sz w:val="18"/>
          <w:szCs w:val="18"/>
        </w:rPr>
        <w:t>:</w:t>
      </w:r>
      <w:r w:rsidRPr="00787A95">
        <w:rPr>
          <w:rFonts w:ascii="Tahoma" w:hAnsi="Tahoma" w:cs="Tahoma"/>
          <w:b/>
          <w:bCs/>
          <w:sz w:val="18"/>
          <w:szCs w:val="18"/>
        </w:rPr>
        <w:t xml:space="preserve"> </w:t>
      </w:r>
      <w:r w:rsidRPr="00787A95">
        <w:rPr>
          <w:rFonts w:ascii="Tahoma" w:hAnsi="Tahoma" w:cs="Tahoma"/>
          <w:sz w:val="18"/>
          <w:szCs w:val="18"/>
        </w:rPr>
        <w:t xml:space="preserve">metoda </w:t>
      </w:r>
      <w:r w:rsidRPr="00787A95">
        <w:rPr>
          <w:rFonts w:ascii="Tahoma" w:hAnsi="Tahoma" w:cs="Tahoma"/>
          <w:sz w:val="18"/>
          <w:szCs w:val="18"/>
        </w:rPr>
        <w:t>Martinotti</w:t>
      </w:r>
      <w:r w:rsidRPr="00787A95">
        <w:rPr>
          <w:rFonts w:ascii="Tahoma" w:hAnsi="Tahoma" w:cs="Tahoma"/>
          <w:sz w:val="18"/>
          <w:szCs w:val="18"/>
        </w:rPr>
        <w:br/>
      </w:r>
      <w:r w:rsidRPr="00787A95">
        <w:rPr>
          <w:rFonts w:ascii="Tahoma" w:hAnsi="Tahoma" w:cs="Tahoma"/>
          <w:b/>
          <w:bCs/>
          <w:sz w:val="18"/>
          <w:szCs w:val="18"/>
        </w:rPr>
        <w:t xml:space="preserve">Gradație alcoolică: </w:t>
      </w:r>
      <w:r w:rsidRPr="00787A95">
        <w:rPr>
          <w:rFonts w:ascii="Tahoma" w:hAnsi="Tahoma" w:cs="Tahoma"/>
          <w:sz w:val="18"/>
          <w:szCs w:val="18"/>
        </w:rPr>
        <w:t>12% vol.</w:t>
      </w:r>
      <w:r w:rsidRPr="00787A95">
        <w:rPr>
          <w:rFonts w:ascii="Tahoma" w:hAnsi="Tahoma" w:cs="Tahoma"/>
          <w:sz w:val="18"/>
          <w:szCs w:val="18"/>
        </w:rPr>
        <w:br/>
      </w:r>
      <w:r w:rsidRPr="00787A95">
        <w:rPr>
          <w:rFonts w:ascii="Tahoma" w:hAnsi="Tahoma" w:cs="Tahoma"/>
          <w:b/>
          <w:bCs/>
          <w:sz w:val="18"/>
          <w:szCs w:val="18"/>
        </w:rPr>
        <w:t>Zahăr rezidual</w:t>
      </w:r>
      <w:r w:rsidRPr="00787A95">
        <w:rPr>
          <w:rFonts w:ascii="Tahoma" w:hAnsi="Tahoma" w:cs="Tahoma"/>
          <w:b/>
          <w:bCs/>
          <w:sz w:val="18"/>
          <w:szCs w:val="18"/>
        </w:rPr>
        <w:t>:</w:t>
      </w:r>
      <w:r w:rsidRPr="00787A95">
        <w:rPr>
          <w:rFonts w:ascii="Tahoma" w:hAnsi="Tahoma" w:cs="Tahoma"/>
          <w:b/>
          <w:bCs/>
          <w:sz w:val="18"/>
          <w:szCs w:val="18"/>
        </w:rPr>
        <w:t xml:space="preserve"> </w:t>
      </w:r>
      <w:r w:rsidRPr="00787A95">
        <w:rPr>
          <w:rFonts w:ascii="Tahoma" w:hAnsi="Tahoma" w:cs="Tahoma"/>
          <w:sz w:val="18"/>
          <w:szCs w:val="18"/>
        </w:rPr>
        <w:t>7.5 g/l</w:t>
      </w:r>
      <w:r w:rsidRPr="00787A95">
        <w:rPr>
          <w:rFonts w:ascii="Tahoma" w:hAnsi="Tahoma" w:cs="Tahoma"/>
          <w:sz w:val="18"/>
          <w:szCs w:val="18"/>
        </w:rPr>
        <w:br/>
      </w:r>
      <w:r w:rsidRPr="00787A95">
        <w:rPr>
          <w:rFonts w:ascii="Tahoma" w:hAnsi="Tahoma" w:cs="Tahoma"/>
          <w:b/>
          <w:bCs/>
          <w:sz w:val="18"/>
          <w:szCs w:val="18"/>
        </w:rPr>
        <w:t xml:space="preserve">Aciditate totală: </w:t>
      </w:r>
      <w:r w:rsidRPr="00787A95">
        <w:rPr>
          <w:rFonts w:ascii="Tahoma" w:hAnsi="Tahoma" w:cs="Tahoma"/>
          <w:sz w:val="18"/>
          <w:szCs w:val="18"/>
        </w:rPr>
        <w:t xml:space="preserve">6.5 g/l </w:t>
      </w:r>
    </w:p>
    <w:p w14:paraId="30628F20" w14:textId="77777777" w:rsidR="00787A95" w:rsidRDefault="00787A95" w:rsidP="00787A95">
      <w:pPr>
        <w:spacing w:before="104" w:line="352" w:lineRule="auto"/>
        <w:ind w:left="5497" w:right="711"/>
        <w:rPr>
          <w:rFonts w:ascii="Tahoma" w:hAnsi="Tahoma" w:cs="Tahoma"/>
          <w:sz w:val="18"/>
          <w:szCs w:val="18"/>
        </w:rPr>
      </w:pPr>
      <w:r w:rsidRPr="00787A95">
        <w:rPr>
          <w:rFonts w:ascii="Tahoma" w:hAnsi="Tahoma" w:cs="Tahoma"/>
          <w:b/>
          <w:sz w:val="18"/>
          <w:szCs w:val="18"/>
        </w:rPr>
        <w:t>Temperatură de servire:</w:t>
      </w:r>
      <w:r w:rsidRPr="00787A95">
        <w:rPr>
          <w:rFonts w:ascii="Tahoma" w:hAnsi="Tahoma" w:cs="Tahoma"/>
          <w:b/>
          <w:bCs/>
          <w:sz w:val="18"/>
          <w:szCs w:val="18"/>
        </w:rPr>
        <w:t xml:space="preserve"> </w:t>
      </w:r>
      <w:r w:rsidRPr="00787A95">
        <w:rPr>
          <w:rFonts w:ascii="Tahoma" w:hAnsi="Tahoma" w:cs="Tahoma"/>
          <w:sz w:val="18"/>
          <w:szCs w:val="18"/>
        </w:rPr>
        <w:t xml:space="preserve">6/8° </w:t>
      </w:r>
    </w:p>
    <w:p w14:paraId="3149D632" w14:textId="0D4BCF76" w:rsidR="00081289" w:rsidRPr="00787A95" w:rsidRDefault="00787A95" w:rsidP="00787A95">
      <w:pPr>
        <w:spacing w:before="104" w:line="352" w:lineRule="auto"/>
        <w:ind w:left="5497" w:right="711"/>
        <w:rPr>
          <w:rFonts w:ascii="Tahoma" w:eastAsia="Arial" w:hAnsi="Tahoma" w:cs="Tahoma"/>
          <w:sz w:val="18"/>
          <w:szCs w:val="18"/>
        </w:rPr>
      </w:pPr>
      <w:r w:rsidRPr="00787A95">
        <w:rPr>
          <w:rFonts w:ascii="Tahoma" w:hAnsi="Tahoma" w:cs="Tahoma"/>
          <w:b/>
          <w:bCs/>
          <w:sz w:val="18"/>
          <w:szCs w:val="18"/>
        </w:rPr>
        <w:t xml:space="preserve">Format: </w:t>
      </w:r>
      <w:r w:rsidRPr="00787A95">
        <w:rPr>
          <w:rFonts w:ascii="Tahoma" w:hAnsi="Tahoma" w:cs="Tahoma"/>
          <w:sz w:val="18"/>
          <w:szCs w:val="18"/>
        </w:rPr>
        <w:t>0,75 l</w:t>
      </w:r>
    </w:p>
    <w:p w14:paraId="78AAFB1A" w14:textId="77777777" w:rsidR="00081289" w:rsidRPr="00787A95" w:rsidRDefault="00787A95" w:rsidP="00787A95">
      <w:pPr>
        <w:spacing w:before="7"/>
        <w:ind w:left="5497" w:right="711"/>
        <w:rPr>
          <w:rFonts w:ascii="Tahoma" w:eastAsia="Arial" w:hAnsi="Tahoma" w:cs="Tahoma"/>
          <w:sz w:val="18"/>
          <w:szCs w:val="18"/>
        </w:rPr>
      </w:pPr>
      <w:r w:rsidRPr="00787A95">
        <w:rPr>
          <w:rFonts w:ascii="Tahoma" w:hAnsi="Tahoma" w:cs="Tahoma"/>
          <w:b/>
          <w:sz w:val="18"/>
          <w:szCs w:val="18"/>
        </w:rPr>
        <w:t xml:space="preserve">Cod: </w:t>
      </w:r>
      <w:r w:rsidRPr="00787A95">
        <w:rPr>
          <w:rFonts w:ascii="Tahoma" w:hAnsi="Tahoma" w:cs="Tahoma"/>
          <w:sz w:val="18"/>
          <w:szCs w:val="18"/>
        </w:rPr>
        <w:t>SP-2</w:t>
      </w:r>
    </w:p>
    <w:p w14:paraId="52700476" w14:textId="77777777" w:rsidR="00081289" w:rsidRPr="00787A95" w:rsidRDefault="00081289" w:rsidP="00787A95">
      <w:pPr>
        <w:ind w:right="711"/>
        <w:rPr>
          <w:rFonts w:ascii="Tahoma" w:eastAsia="Arial" w:hAnsi="Tahoma" w:cs="Tahoma"/>
          <w:sz w:val="18"/>
          <w:szCs w:val="18"/>
        </w:rPr>
      </w:pPr>
    </w:p>
    <w:p w14:paraId="2E6811FD" w14:textId="77777777" w:rsidR="00081289" w:rsidRPr="00787A95" w:rsidRDefault="00787A95" w:rsidP="00787A95">
      <w:pPr>
        <w:ind w:left="5497" w:right="711"/>
        <w:rPr>
          <w:rFonts w:ascii="Tahoma" w:eastAsia="Arial" w:hAnsi="Tahoma" w:cs="Tahoma"/>
          <w:sz w:val="18"/>
          <w:szCs w:val="18"/>
        </w:rPr>
      </w:pPr>
      <w:r w:rsidRPr="00787A95">
        <w:rPr>
          <w:rFonts w:ascii="Tahoma" w:hAnsi="Tahoma" w:cs="Tahoma"/>
          <w:i/>
          <w:sz w:val="18"/>
          <w:szCs w:val="18"/>
        </w:rPr>
        <w:t>— Datele se vor considera a fi valori medii ale produsului</w:t>
      </w:r>
    </w:p>
    <w:p w14:paraId="6986D8B2" w14:textId="77777777" w:rsidR="00081289" w:rsidRPr="00787A95" w:rsidRDefault="00081289" w:rsidP="00787A95">
      <w:pPr>
        <w:ind w:right="711"/>
        <w:rPr>
          <w:rFonts w:ascii="Tahoma" w:eastAsia="Arial" w:hAnsi="Tahoma" w:cs="Tahoma"/>
          <w:i/>
          <w:sz w:val="18"/>
          <w:szCs w:val="18"/>
        </w:rPr>
      </w:pPr>
    </w:p>
    <w:p w14:paraId="753410EF" w14:textId="77777777" w:rsidR="00081289" w:rsidRPr="00787A95" w:rsidRDefault="00787A95" w:rsidP="00787A95">
      <w:pPr>
        <w:pStyle w:val="Titlu1"/>
        <w:spacing w:before="102"/>
        <w:ind w:right="711"/>
        <w:rPr>
          <w:rFonts w:ascii="Tahoma" w:hAnsi="Tahoma" w:cs="Tahoma"/>
          <w:b w:val="0"/>
          <w:bCs w:val="0"/>
        </w:rPr>
      </w:pPr>
      <w:r w:rsidRPr="00787A95">
        <w:rPr>
          <w:rFonts w:ascii="Tahoma" w:hAnsi="Tahoma" w:cs="Tahoma"/>
        </w:rPr>
        <w:t>ANALIZĂ SENZORIALĂ</w:t>
      </w:r>
    </w:p>
    <w:p w14:paraId="697A8CB8" w14:textId="77777777" w:rsidR="00081289" w:rsidRPr="00787A95" w:rsidRDefault="00787A95" w:rsidP="00787A95">
      <w:pPr>
        <w:pStyle w:val="Corptext"/>
        <w:spacing w:before="148"/>
        <w:ind w:right="711"/>
        <w:rPr>
          <w:rFonts w:ascii="Tahoma" w:hAnsi="Tahoma" w:cs="Tahoma"/>
          <w:sz w:val="18"/>
          <w:szCs w:val="18"/>
        </w:rPr>
      </w:pPr>
      <w:r w:rsidRPr="00787A95">
        <w:rPr>
          <w:rFonts w:ascii="Tahoma" w:hAnsi="Tahoma" w:cs="Tahoma"/>
          <w:b/>
          <w:sz w:val="18"/>
          <w:szCs w:val="18"/>
        </w:rPr>
        <w:t xml:space="preserve">Aspect: </w:t>
      </w:r>
      <w:r w:rsidRPr="00787A95">
        <w:rPr>
          <w:rFonts w:ascii="Tahoma" w:hAnsi="Tahoma" w:cs="Tahoma"/>
          <w:sz w:val="18"/>
          <w:szCs w:val="18"/>
        </w:rPr>
        <w:t>Culoare galben pai, cu perlaj elegant și fin.</w:t>
      </w:r>
    </w:p>
    <w:p w14:paraId="1D755E44" w14:textId="7290E57D" w:rsidR="00081289" w:rsidRPr="00787A95" w:rsidRDefault="00787A95" w:rsidP="00787A95">
      <w:pPr>
        <w:pStyle w:val="Corptext"/>
        <w:spacing w:before="134" w:line="244" w:lineRule="auto"/>
        <w:ind w:right="711"/>
        <w:rPr>
          <w:rFonts w:ascii="Tahoma" w:hAnsi="Tahoma" w:cs="Tahoma"/>
          <w:sz w:val="18"/>
          <w:szCs w:val="18"/>
        </w:rPr>
      </w:pPr>
      <w:r w:rsidRPr="00787A95">
        <w:rPr>
          <w:rFonts w:ascii="Tahoma" w:hAnsi="Tahoma" w:cs="Tahoma"/>
          <w:b/>
          <w:bCs/>
          <w:sz w:val="18"/>
          <w:szCs w:val="18"/>
        </w:rPr>
        <w:t xml:space="preserve">Miros: </w:t>
      </w:r>
      <w:r w:rsidRPr="00787A95">
        <w:rPr>
          <w:rFonts w:ascii="Tahoma" w:hAnsi="Tahoma" w:cs="Tahoma"/>
          <w:sz w:val="18"/>
          <w:szCs w:val="18"/>
        </w:rPr>
        <w:t>Amprenta citrică și indiciile tropicale ale soiului Chardonnay însoțesc perfect identitatea și complexitatea și note</w:t>
      </w:r>
      <w:r w:rsidRPr="00787A95">
        <w:rPr>
          <w:rFonts w:ascii="Tahoma" w:hAnsi="Tahoma" w:cs="Tahoma"/>
          <w:sz w:val="18"/>
          <w:szCs w:val="18"/>
        </w:rPr>
        <w:t>le florale și fructate ușoare ale soiului Pinot Noir prelucrat în alb. Emană miresme de eleganță</w:t>
      </w:r>
      <w:r w:rsidRPr="00787A95">
        <w:rPr>
          <w:rFonts w:ascii="Tahoma" w:hAnsi="Tahoma" w:cs="Tahoma"/>
          <w:sz w:val="18"/>
          <w:szCs w:val="18"/>
        </w:rPr>
        <w:t xml:space="preserve"> și clasă.</w:t>
      </w:r>
    </w:p>
    <w:p w14:paraId="3AAE0E00" w14:textId="77777777" w:rsidR="00081289" w:rsidRPr="00787A95" w:rsidRDefault="00787A95" w:rsidP="00787A95">
      <w:pPr>
        <w:pStyle w:val="Corptext"/>
        <w:spacing w:line="244" w:lineRule="auto"/>
        <w:ind w:right="711"/>
        <w:rPr>
          <w:rFonts w:ascii="Tahoma" w:hAnsi="Tahoma" w:cs="Tahoma"/>
          <w:sz w:val="18"/>
          <w:szCs w:val="18"/>
        </w:rPr>
      </w:pPr>
      <w:r w:rsidRPr="00787A95">
        <w:rPr>
          <w:rFonts w:ascii="Tahoma" w:hAnsi="Tahoma" w:cs="Tahoma"/>
          <w:b/>
          <w:bCs/>
          <w:sz w:val="18"/>
          <w:szCs w:val="18"/>
        </w:rPr>
        <w:t xml:space="preserve">Gust: </w:t>
      </w:r>
      <w:r w:rsidRPr="00787A95">
        <w:rPr>
          <w:rFonts w:ascii="Tahoma" w:hAnsi="Tahoma" w:cs="Tahoma"/>
          <w:sz w:val="18"/>
          <w:szCs w:val="18"/>
        </w:rPr>
        <w:t>Proaspăt și savuros. Notele citrice și blândețea florală sunt în echilibru deplin și mulțumită unui grad de alcool echilibrat. Băutură seducătoa</w:t>
      </w:r>
      <w:r w:rsidRPr="00787A95">
        <w:rPr>
          <w:rFonts w:ascii="Tahoma" w:hAnsi="Tahoma" w:cs="Tahoma"/>
          <w:sz w:val="18"/>
          <w:szCs w:val="18"/>
        </w:rPr>
        <w:t>re, cu o notă finală care lasă un postgust armonic ce ne amintește de indiciile de fructe uscate.</w:t>
      </w:r>
    </w:p>
    <w:p w14:paraId="425BF1CA" w14:textId="77777777" w:rsidR="00081289" w:rsidRPr="00787A95" w:rsidRDefault="00787A95" w:rsidP="00787A95">
      <w:pPr>
        <w:pStyle w:val="Corptext"/>
        <w:spacing w:line="244" w:lineRule="auto"/>
        <w:ind w:right="711"/>
        <w:rPr>
          <w:rFonts w:ascii="Tahoma" w:hAnsi="Tahoma" w:cs="Tahoma"/>
          <w:sz w:val="18"/>
          <w:szCs w:val="18"/>
        </w:rPr>
      </w:pPr>
      <w:r w:rsidRPr="00787A95">
        <w:rPr>
          <w:rFonts w:ascii="Tahoma" w:hAnsi="Tahoma" w:cs="Tahoma"/>
          <w:b/>
          <w:sz w:val="18"/>
          <w:szCs w:val="18"/>
        </w:rPr>
        <w:t xml:space="preserve">Asocieri culinare: </w:t>
      </w:r>
      <w:r w:rsidRPr="00787A95">
        <w:rPr>
          <w:rFonts w:ascii="Tahoma" w:hAnsi="Tahoma" w:cs="Tahoma"/>
          <w:sz w:val="18"/>
          <w:szCs w:val="18"/>
        </w:rPr>
        <w:t>Excelent în combinație cu preparate pe bază de pește, moluște și crustacee, dar și care ne pasăre și feluri de mâncare ușoare</w:t>
      </w:r>
    </w:p>
    <w:p w14:paraId="5C57996A" w14:textId="77777777" w:rsidR="00081289" w:rsidRPr="00787A95" w:rsidRDefault="00787A95" w:rsidP="00787A95">
      <w:pPr>
        <w:pStyle w:val="Corptext"/>
        <w:spacing w:before="0" w:line="244" w:lineRule="auto"/>
        <w:ind w:right="711"/>
        <w:rPr>
          <w:rFonts w:ascii="Tahoma" w:hAnsi="Tahoma" w:cs="Tahoma"/>
          <w:sz w:val="18"/>
          <w:szCs w:val="18"/>
        </w:rPr>
      </w:pPr>
      <w:r w:rsidRPr="00787A95">
        <w:rPr>
          <w:rFonts w:ascii="Tahoma" w:hAnsi="Tahoma" w:cs="Tahoma"/>
          <w:sz w:val="18"/>
          <w:szCs w:val="18"/>
        </w:rPr>
        <w:t>pe bază de legume. Ideal ca aperitiv sau în combinație cu brânzeturi mediu maturate și mezeluri.</w:t>
      </w:r>
    </w:p>
    <w:sectPr w:rsidR="00081289" w:rsidRPr="00787A95">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81289"/>
    <w:rsid w:val="00081289"/>
    <w:rsid w:val="00787A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3898C2E8"/>
  <w15:docId w15:val="{350E758D-7912-46BA-BF74-3CE44B31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spacing w:before="71"/>
      <w:ind w:left="5497"/>
      <w:outlineLvl w:val="0"/>
    </w:pPr>
    <w:rPr>
      <w:rFonts w:ascii="Gill Sans MT" w:eastAsia="Gill Sans MT" w:hAnsi="Gill Sans MT"/>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1746</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2</cp:revision>
  <dcterms:created xsi:type="dcterms:W3CDTF">2021-09-14T16:54:00Z</dcterms:created>
  <dcterms:modified xsi:type="dcterms:W3CDTF">2021-09-25T08:08:00Z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