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b/>
        </w:rPr>
      </w:pPr>
      <w:r>
        <w:rPr>
          <w:rFonts w:eastAsia="Montserrat"/>
          <w:b/>
        </w:rPr>
        <w:t>FISA TEHNICA  23/2024</w:t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  <w:sz w:val="28"/>
          <w:szCs w:val="28"/>
        </w:rPr>
        <w:t xml:space="preserve">LIQUITECH </w:t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TIRE SHINE</w:t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>DRESSING PENTRU ANVELOPE</w:t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  <w:tab/>
        <w:t>1.DESCRIERE</w:t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Textbody"/>
        <w:spacing w:lineRule="atLeast" w:line="252" w:before="0" w:after="0"/>
        <w:rPr/>
      </w:pPr>
      <w:r>
        <w:rPr/>
        <w:tab/>
      </w:r>
      <w:bookmarkStart w:id="0" w:name="_Hlk126502584"/>
      <w:r>
        <w:rPr/>
        <w:t xml:space="preserve">LIQUITECH </w:t>
      </w:r>
      <w:bookmarkEnd w:id="0"/>
      <w:r>
        <w:rPr/>
        <w:t xml:space="preserve">TIRE SHINE este un agent de </w:t>
      </w:r>
      <w:r>
        <w:rPr/>
        <w:t>î</w:t>
      </w:r>
      <w:r>
        <w:rPr/>
        <w:t>ntre</w:t>
      </w:r>
      <w:r>
        <w:rPr/>
        <w:t>ț</w:t>
      </w:r>
      <w:r>
        <w:rPr/>
        <w:t>inere f</w:t>
      </w:r>
      <w:r>
        <w:rPr/>
        <w:t>ă</w:t>
      </w:r>
      <w:r>
        <w:rPr/>
        <w:t>r</w:t>
      </w:r>
      <w:r>
        <w:rPr/>
        <w:t>ă</w:t>
      </w:r>
      <w:r>
        <w:rPr/>
        <w:t xml:space="preserve"> silicon care confer</w:t>
      </w:r>
      <w:r>
        <w:rPr/>
        <w:t>ă</w:t>
      </w:r>
      <w:r>
        <w:rPr/>
        <w:t xml:space="preserve"> un aspect clar </w:t>
      </w:r>
      <w:r>
        <w:rPr/>
        <w:t>ș</w:t>
      </w:r>
      <w:r>
        <w:rPr/>
        <w:t>i lucios anvelopelor, ornamentelor, grilelor de protec</w:t>
      </w:r>
      <w:r>
        <w:rPr/>
        <w:t>ți</w:t>
      </w:r>
      <w:r>
        <w:rPr/>
        <w:t xml:space="preserve">e, precum </w:t>
      </w:r>
      <w:r>
        <w:rPr/>
        <w:t>ț</w:t>
      </w:r>
      <w:r>
        <w:rPr/>
        <w:t>i tuturor suprafe</w:t>
      </w:r>
      <w:r>
        <w:rPr/>
        <w:t>ț</w:t>
      </w:r>
      <w:r>
        <w:rPr/>
        <w:t xml:space="preserve">elor din cauciuc, vinilin </w:t>
      </w:r>
      <w:r>
        <w:rPr/>
        <w:t>ț</w:t>
      </w:r>
      <w:r>
        <w:rPr/>
        <w:t>i plastic. Este o solu</w:t>
      </w:r>
      <w:r>
        <w:rPr/>
        <w:t>ț</w:t>
      </w:r>
      <w:r>
        <w:rPr/>
        <w:t>ie apoas</w:t>
      </w:r>
      <w:r>
        <w:rPr/>
        <w:t>ă</w:t>
      </w:r>
      <w:r>
        <w:rPr/>
        <w:t xml:space="preserve"> cu v</w:t>
      </w:r>
      <w:r>
        <w:rPr/>
        <w:t>â</w:t>
      </w:r>
      <w:r>
        <w:rPr/>
        <w:t>scozitate sc</w:t>
      </w:r>
      <w:r>
        <w:rPr/>
        <w:t>ă</w:t>
      </w:r>
      <w:r>
        <w:rPr/>
        <w:t>zut</w:t>
      </w:r>
      <w:r>
        <w:rPr/>
        <w:t>ă</w:t>
      </w:r>
      <w:r>
        <w:rPr/>
        <w:t xml:space="preserve"> ceea ce permite aplicarea rapid</w:t>
      </w:r>
      <w:r>
        <w:rPr/>
        <w:t>ă</w:t>
      </w:r>
      <w:r>
        <w:rPr/>
        <w:t xml:space="preserve"> prin pulverizare at</w:t>
      </w:r>
      <w:r>
        <w:rPr/>
        <w:t>â</w:t>
      </w:r>
      <w:r>
        <w:rPr/>
        <w:t>t pe anvelope,c</w:t>
      </w:r>
      <w:r>
        <w:rPr/>
        <w:t>â</w:t>
      </w:r>
      <w:r>
        <w:rPr/>
        <w:t xml:space="preserve">t </w:t>
      </w:r>
      <w:r>
        <w:rPr/>
        <w:t>ș</w:t>
      </w:r>
      <w:r>
        <w:rPr/>
        <w:t xml:space="preserve">i pe piesele greu accesibile. </w:t>
        <w:tab/>
        <w:t>Spre deoasebire de produsele pe baz</w:t>
      </w:r>
      <w:r>
        <w:rPr/>
        <w:t>ă</w:t>
      </w:r>
      <w:r>
        <w:rPr/>
        <w:t xml:space="preserve"> de siliconi, nu creeaz</w:t>
      </w:r>
      <w:r>
        <w:rPr/>
        <w:t>ă</w:t>
      </w:r>
      <w:r>
        <w:rPr/>
        <w:t xml:space="preserve"> efectul de „ochi de peste” astfel </w:t>
      </w:r>
      <w:r>
        <w:rPr/>
        <w:t>î</w:t>
      </w:r>
      <w:r>
        <w:rPr/>
        <w:t>nc</w:t>
      </w:r>
      <w:r>
        <w:rPr/>
        <w:t>â</w:t>
      </w:r>
      <w:r>
        <w:rPr/>
        <w:t xml:space="preserve">t se poate folosi </w:t>
      </w:r>
      <w:r>
        <w:rPr/>
        <w:t>î</w:t>
      </w:r>
      <w:r>
        <w:rPr/>
        <w:t>n vopsitoriile auto, unde contaminarea accidental</w:t>
      </w:r>
      <w:r>
        <w:rPr/>
        <w:t>ă</w:t>
      </w:r>
      <w:r>
        <w:rPr/>
        <w:t xml:space="preserve"> a suprafe</w:t>
      </w:r>
      <w:r>
        <w:rPr/>
        <w:t>ț</w:t>
      </w:r>
      <w:r>
        <w:rPr/>
        <w:t>elor reprezint</w:t>
      </w:r>
      <w:r>
        <w:rPr/>
        <w:t>ă</w:t>
      </w:r>
      <w:r>
        <w:rPr/>
        <w:t xml:space="preserve"> un risc. 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2.DOMENIU DE UTILIZARE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>-solu</w:t>
      </w:r>
      <w:r>
        <w:rPr>
          <w:lang w:val="es-ES" w:eastAsia="ro-RO"/>
        </w:rPr>
        <w:t>ț</w:t>
      </w:r>
      <w:r>
        <w:rPr>
          <w:lang w:val="es-ES" w:eastAsia="ro-RO"/>
        </w:rPr>
        <w:t>ie care confer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luciu anvelopelor, ornamentelor </w:t>
      </w:r>
      <w:r>
        <w:rPr>
          <w:lang w:val="es-ES" w:eastAsia="ro-RO"/>
        </w:rPr>
        <w:t>ș</w:t>
      </w:r>
      <w:r>
        <w:rPr>
          <w:lang w:val="es-ES" w:eastAsia="ro-RO"/>
        </w:rPr>
        <w:t>i grilelor de protec</w:t>
      </w:r>
      <w:r>
        <w:rPr>
          <w:lang w:val="es-ES" w:eastAsia="ro-RO"/>
        </w:rPr>
        <w:t>ț</w:t>
      </w:r>
      <w:r>
        <w:rPr>
          <w:lang w:val="es-ES" w:eastAsia="ro-RO"/>
        </w:rPr>
        <w:t>ie ale ma</w:t>
      </w:r>
      <w:r>
        <w:rPr>
          <w:lang w:val="es-ES" w:eastAsia="ro-RO"/>
        </w:rPr>
        <w:t>ș</w:t>
      </w:r>
      <w:r>
        <w:rPr>
          <w:lang w:val="es-ES" w:eastAsia="ro-RO"/>
        </w:rPr>
        <w:t>inilor.</w:t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</w:r>
    </w:p>
    <w:p>
      <w:pPr>
        <w:pStyle w:val="Normal"/>
        <w:spacing w:before="0" w:after="29"/>
        <w:rPr>
          <w:b/>
          <w:lang w:val="es-ES"/>
        </w:rPr>
      </w:pPr>
      <w:r>
        <w:rPr>
          <w:b/>
          <w:lang w:val="es-ES"/>
        </w:rPr>
        <w:tab/>
        <w:t>3.INSTRUC</w:t>
      </w:r>
      <w:r>
        <w:rPr>
          <w:b/>
          <w:lang w:val="es-ES"/>
        </w:rPr>
        <w:t>Ț</w:t>
      </w:r>
      <w:r>
        <w:rPr>
          <w:b/>
          <w:lang w:val="es-ES"/>
        </w:rPr>
        <w:t>IUNI DE UTILIZARE</w:t>
      </w:r>
    </w:p>
    <w:p>
      <w:pPr>
        <w:pStyle w:val="Normal"/>
        <w:spacing w:before="0" w:after="29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bCs/>
          <w:color w:val="FF0000"/>
          <w:lang w:val="es-ES"/>
        </w:rPr>
      </w:pPr>
      <w:r>
        <w:rPr>
          <w:bCs/>
          <w:color w:val="auto"/>
          <w:lang w:val="es-ES"/>
        </w:rPr>
        <w:tab/>
        <w:t>Suprafa</w:t>
      </w:r>
      <w:r>
        <w:rPr>
          <w:bCs/>
          <w:color w:val="auto"/>
          <w:lang w:val="es-ES"/>
        </w:rPr>
        <w:t>ț</w:t>
      </w:r>
      <w:r>
        <w:rPr>
          <w:bCs/>
          <w:color w:val="auto"/>
          <w:lang w:val="es-ES"/>
        </w:rPr>
        <w:t>a pe care urmeaz</w:t>
      </w:r>
      <w:r>
        <w:rPr>
          <w:bCs/>
          <w:color w:val="auto"/>
          <w:lang w:val="es-ES"/>
        </w:rPr>
        <w:t>ă</w:t>
      </w:r>
      <w:r>
        <w:rPr>
          <w:bCs/>
          <w:color w:val="auto"/>
          <w:lang w:val="es-ES"/>
        </w:rPr>
        <w:t xml:space="preserve"> s</w:t>
      </w:r>
      <w:r>
        <w:rPr>
          <w:bCs/>
          <w:color w:val="auto"/>
          <w:lang w:val="es-ES"/>
        </w:rPr>
        <w:t>ă</w:t>
      </w:r>
      <w:r>
        <w:rPr>
          <w:bCs/>
          <w:color w:val="auto"/>
          <w:lang w:val="es-ES"/>
        </w:rPr>
        <w:t xml:space="preserve"> se aplice produsul trebuie s</w:t>
      </w:r>
      <w:r>
        <w:rPr>
          <w:bCs/>
          <w:color w:val="auto"/>
          <w:lang w:val="es-ES"/>
        </w:rPr>
        <w:t>ă</w:t>
      </w:r>
      <w:r>
        <w:rPr>
          <w:bCs/>
          <w:color w:val="auto"/>
          <w:lang w:val="es-ES"/>
        </w:rPr>
        <w:t xml:space="preserve"> fie cur</w:t>
      </w:r>
      <w:r>
        <w:rPr>
          <w:bCs/>
          <w:color w:val="auto"/>
          <w:lang w:val="es-ES"/>
        </w:rPr>
        <w:t>ăț</w:t>
      </w:r>
      <w:r>
        <w:rPr>
          <w:bCs/>
          <w:color w:val="auto"/>
          <w:lang w:val="es-ES"/>
        </w:rPr>
        <w:t>at</w:t>
      </w:r>
      <w:r>
        <w:rPr>
          <w:bCs/>
          <w:color w:val="auto"/>
          <w:lang w:val="es-ES"/>
        </w:rPr>
        <w:t>ă</w:t>
      </w:r>
      <w:r>
        <w:rPr>
          <w:bCs/>
          <w:color w:val="auto"/>
          <w:lang w:val="es-ES"/>
        </w:rPr>
        <w:t xml:space="preserve"> </w:t>
      </w:r>
      <w:r>
        <w:rPr>
          <w:bCs/>
          <w:color w:val="auto"/>
          <w:lang w:val="es-ES"/>
        </w:rPr>
        <w:t>ș</w:t>
      </w:r>
      <w:r>
        <w:rPr>
          <w:bCs/>
          <w:color w:val="auto"/>
          <w:lang w:val="es-ES"/>
        </w:rPr>
        <w:t>i uscat</w:t>
      </w:r>
      <w:r>
        <w:rPr>
          <w:bCs/>
          <w:color w:val="auto"/>
          <w:lang w:val="es-ES"/>
        </w:rPr>
        <w:t>ă</w:t>
      </w:r>
      <w:r>
        <w:rPr>
          <w:bCs/>
          <w:color w:val="auto"/>
          <w:lang w:val="es-ES"/>
        </w:rPr>
        <w:t>. Se aplic</w:t>
      </w:r>
      <w:r>
        <w:rPr>
          <w:bCs/>
          <w:color w:val="auto"/>
          <w:lang w:val="es-ES"/>
        </w:rPr>
        <w:t>ă</w:t>
      </w:r>
      <w:r>
        <w:rPr>
          <w:bCs/>
          <w:color w:val="auto"/>
          <w:lang w:val="es-ES"/>
        </w:rPr>
        <w:t xml:space="preserve"> LIQUITECH TIRE SHINE prin pulverizare </w:t>
      </w:r>
      <w:r>
        <w:rPr>
          <w:bCs/>
          <w:color w:val="auto"/>
          <w:lang w:val="es-ES"/>
        </w:rPr>
        <w:t>ș</w:t>
      </w:r>
      <w:r>
        <w:rPr>
          <w:bCs/>
          <w:color w:val="auto"/>
          <w:lang w:val="es-ES"/>
        </w:rPr>
        <w:t xml:space="preserve">i se </w:t>
      </w:r>
      <w:r>
        <w:rPr>
          <w:bCs/>
          <w:color w:val="auto"/>
          <w:lang w:val="es-ES"/>
        </w:rPr>
        <w:t>î</w:t>
      </w:r>
      <w:r>
        <w:rPr>
          <w:bCs/>
          <w:color w:val="auto"/>
          <w:lang w:val="es-ES"/>
        </w:rPr>
        <w:t>ntinde uniform cu un burete sau cu o lavet</w:t>
      </w:r>
      <w:r>
        <w:rPr>
          <w:bCs/>
          <w:color w:val="auto"/>
          <w:lang w:val="es-ES"/>
        </w:rPr>
        <w:t>ă</w:t>
      </w:r>
      <w:r>
        <w:rPr>
          <w:bCs/>
          <w:color w:val="auto"/>
          <w:lang w:val="es-ES"/>
        </w:rPr>
        <w:t xml:space="preserve"> din microfibre. Dupa 2-3 minute se </w:t>
      </w:r>
      <w:r>
        <w:rPr>
          <w:bCs/>
          <w:color w:val="auto"/>
          <w:lang w:val="es-ES"/>
        </w:rPr>
        <w:t>î</w:t>
      </w:r>
      <w:r>
        <w:rPr>
          <w:bCs/>
          <w:color w:val="auto"/>
          <w:lang w:val="es-ES"/>
        </w:rPr>
        <w:t>nlatur</w:t>
      </w:r>
      <w:r>
        <w:rPr>
          <w:bCs/>
          <w:color w:val="auto"/>
          <w:lang w:val="es-ES"/>
        </w:rPr>
        <w:t>ă</w:t>
      </w:r>
      <w:r>
        <w:rPr>
          <w:bCs/>
          <w:color w:val="auto"/>
          <w:lang w:val="es-ES"/>
        </w:rPr>
        <w:t xml:space="preserve"> surplusul, tot cu lav</w:t>
      </w:r>
      <w:r>
        <w:rPr>
          <w:bCs/>
          <w:color w:val="auto"/>
          <w:lang w:val="es-ES"/>
        </w:rPr>
        <w:t>e</w:t>
      </w:r>
      <w:r>
        <w:rPr>
          <w:bCs/>
          <w:color w:val="auto"/>
          <w:lang w:val="es-ES"/>
        </w:rPr>
        <w:t>ta din microfibre.</w:t>
      </w:r>
    </w:p>
    <w:p>
      <w:pPr>
        <w:pStyle w:val="Normal"/>
        <w:spacing w:before="0" w:after="29"/>
        <w:rPr>
          <w:bCs/>
          <w:color w:val="FF0000"/>
          <w:lang w:val="es-ES"/>
        </w:rPr>
      </w:pPr>
      <w:r>
        <w:rPr>
          <w:bCs/>
          <w:color w:val="FF0000"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4.PERFORMAN</w:t>
      </w:r>
      <w:r>
        <w:rPr>
          <w:b/>
          <w:lang w:val="es-ES"/>
        </w:rPr>
        <w:t>Ț</w:t>
      </w:r>
      <w:r>
        <w:rPr>
          <w:b/>
          <w:lang w:val="es-ES"/>
        </w:rPr>
        <w:t>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>- aplicare usoar</w:t>
      </w:r>
      <w:r>
        <w:rPr>
          <w:lang w:val="es-ES" w:eastAsia="ro-RO"/>
        </w:rPr>
        <w:t>ă</w:t>
      </w:r>
      <w:r>
        <w:rPr>
          <w:lang w:val="es-ES" w:eastAsia="ro-RO"/>
        </w:rPr>
        <w:t>, chiar pe suprafe</w:t>
      </w:r>
      <w:r>
        <w:rPr>
          <w:lang w:val="es-ES" w:eastAsia="ro-RO"/>
        </w:rPr>
        <w:t>ț</w:t>
      </w:r>
      <w:r>
        <w:rPr>
          <w:lang w:val="es-ES" w:eastAsia="ro-RO"/>
        </w:rPr>
        <w:t>ele greu accesibile;</w:t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 xml:space="preserve">- creaza </w:t>
      </w:r>
      <w:r>
        <w:rPr>
          <w:lang w:val="es-ES" w:eastAsia="ro-RO"/>
        </w:rPr>
        <w:t>ș</w:t>
      </w:r>
      <w:r>
        <w:rPr>
          <w:lang w:val="es-ES" w:eastAsia="ro-RO"/>
        </w:rPr>
        <w:t>i red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luciu profund suprafe</w:t>
      </w:r>
      <w:r>
        <w:rPr>
          <w:lang w:val="es-ES" w:eastAsia="ro-RO"/>
        </w:rPr>
        <w:t>ț</w:t>
      </w:r>
      <w:r>
        <w:rPr>
          <w:lang w:val="es-ES" w:eastAsia="ro-RO"/>
        </w:rPr>
        <w:t xml:space="preserve">elor din cauciuc, plastic </w:t>
      </w:r>
      <w:r>
        <w:rPr>
          <w:lang w:val="es-ES" w:eastAsia="ro-RO"/>
        </w:rPr>
        <w:t>ț</w:t>
      </w:r>
      <w:r>
        <w:rPr>
          <w:lang w:val="es-ES" w:eastAsia="ro-RO"/>
        </w:rPr>
        <w:t>i vinilin;</w:t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 xml:space="preserve">- </w:t>
      </w:r>
      <w:r>
        <w:rPr>
          <w:lang w:val="es-ES" w:eastAsia="ro-RO"/>
        </w:rPr>
        <w:t>nu</w:t>
      </w:r>
      <w:r>
        <w:rPr>
          <w:lang w:val="es-ES" w:eastAsia="ro-RO"/>
        </w:rPr>
        <w:t xml:space="preserve"> formeaza “ochi de peṣte”;</w:t>
      </w:r>
    </w:p>
    <w:p>
      <w:pPr>
        <w:pStyle w:val="Normal"/>
        <w:spacing w:lineRule="auto" w:line="276"/>
        <w:ind w:end="6"/>
        <w:rPr>
          <w:lang w:val="es-ES" w:eastAsia="ro-RO"/>
        </w:rPr>
      </w:pPr>
      <w:r>
        <w:rPr>
          <w:lang w:val="es-ES" w:eastAsia="ro-RO"/>
        </w:rPr>
        <w:t>- produs biodegradabil.</w:t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 xml:space="preserve">5.AMBALARE, TRANSPORT </w:t>
      </w:r>
      <w:r>
        <w:rPr>
          <w:b/>
          <w:lang w:val="es-ES"/>
        </w:rPr>
        <w:t>ȘI</w:t>
      </w:r>
      <w:r>
        <w:rPr>
          <w:b/>
          <w:lang w:val="es-ES"/>
        </w:rPr>
        <w:t xml:space="preserve"> DEPOZITARE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Ambalarea se realizeaz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în  ambalaje din PET  de  0,75 litri.</w:t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Transportul produsului se face cu mijloace de transport acoperite.</w:t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Produsul se p</w:t>
      </w:r>
      <w:r>
        <w:rPr>
          <w:lang w:val="es-ES" w:eastAsia="ro-RO"/>
        </w:rPr>
        <w:t>ă</w:t>
      </w:r>
      <w:r>
        <w:rPr>
          <w:lang w:val="es-ES" w:eastAsia="ro-RO"/>
        </w:rPr>
        <w:t>streaz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în recipientul original închis etanș, în spații acoperite, departe de surse de foc, la temperaturi cuprinse între 5-30</w:t>
      </w:r>
      <w:r>
        <w:rPr>
          <w:vertAlign w:val="superscript"/>
          <w:lang w:val="es-ES" w:eastAsia="ro-RO"/>
        </w:rPr>
        <w:t>o</w:t>
      </w:r>
      <w:r>
        <w:rPr>
          <w:lang w:val="es-ES" w:eastAsia="ro-RO"/>
        </w:rPr>
        <w:t xml:space="preserve"> C.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b/>
          <w:lang w:val="es-ES"/>
        </w:rPr>
        <w:tab/>
        <w:t>6.TERMEN DE VALABILITATE</w:t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  <w:tab/>
        <w:t>Termenul de valabilitate al produsului este de 24 luni de la data fabrica</w:t>
      </w:r>
      <w:r>
        <w:rPr>
          <w:lang w:val="es-ES"/>
        </w:rPr>
        <w:t>ți</w:t>
      </w:r>
      <w:r>
        <w:rPr>
          <w:lang w:val="es-ES"/>
        </w:rPr>
        <w:t>ei.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7.CARACTERISTICI  FIZICO-CHIMICE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tbl>
      <w:tblPr>
        <w:tblW w:w="952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139"/>
        <w:gridCol w:w="990"/>
        <w:gridCol w:w="2701"/>
        <w:gridCol w:w="1695"/>
      </w:tblGrid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PARAMETRI de CALITATE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  <w:p>
            <w:pPr>
              <w:pStyle w:val="Normal"/>
              <w:spacing w:lineRule="auto" w:line="276"/>
              <w:ind w:end="6"/>
              <w:rPr/>
            </w:pPr>
            <w:r>
              <w:rPr/>
              <w:t>U.M.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 xml:space="preserve">             </w:t>
            </w:r>
          </w:p>
          <w:p>
            <w:pPr>
              <w:pStyle w:val="Normal"/>
              <w:spacing w:lineRule="auto" w:line="276"/>
              <w:ind w:end="6"/>
              <w:rPr/>
            </w:pPr>
            <w:r>
              <w:rPr/>
              <w:t xml:space="preserve">   </w:t>
            </w:r>
            <w:r>
              <w:rPr/>
              <w:t>VALORI PRESCRISE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METODE DE ANALIZĂ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Aspect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lichid limpede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Culoare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incolor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Miros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Cirese si migdale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organoleptic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Densitate relativă, 15 ºC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g/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1-1,05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ASTM D1122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pH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8-9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ASTM D1287</w:t>
            </w:r>
          </w:p>
        </w:tc>
      </w:tr>
    </w:tbl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widowControl/>
        <w:spacing w:lineRule="auto" w:line="276"/>
        <w:rPr>
          <w:b/>
          <w:lang w:val="es-ES" w:eastAsia="ro-RO"/>
        </w:rPr>
      </w:pPr>
      <w:r>
        <w:rPr>
          <w:b/>
          <w:lang w:val="es-ES" w:eastAsia="ro-RO"/>
        </w:rPr>
        <w:tab/>
        <w:t>8. M</w:t>
      </w:r>
      <w:r>
        <w:rPr>
          <w:b/>
          <w:lang w:val="es-ES" w:eastAsia="ro-RO"/>
        </w:rPr>
        <w:t>Ă</w:t>
      </w:r>
      <w:r>
        <w:rPr>
          <w:b/>
          <w:lang w:val="es-ES" w:eastAsia="ro-RO"/>
        </w:rPr>
        <w:t>SURI DE SECURITATE</w:t>
      </w:r>
    </w:p>
    <w:p>
      <w:pPr>
        <w:pStyle w:val="Normal"/>
        <w:widowControl/>
        <w:spacing w:lineRule="auto" w:line="276"/>
        <w:rPr>
          <w:b/>
          <w:lang w:val="es-ES" w:eastAsia="ro-RO"/>
        </w:rPr>
      </w:pPr>
      <w:r>
        <w:rPr>
          <w:b/>
          <w:lang w:val="es-ES" w:eastAsia="ro-RO"/>
        </w:rPr>
      </w:r>
    </w:p>
    <w:p>
      <w:pPr>
        <w:pStyle w:val="Normal"/>
        <w:spacing w:before="0" w:after="86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s-ES"/>
        </w:rPr>
        <w:tab/>
        <w:t xml:space="preserve">Fraze de pericol: 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Eye Irrit. 2: H319 - Provoacă o iritare gravă a ochilor.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>Fraze de precauţie: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P101: Dacă este necesară consultarea medicului, ţineţi la îndemână recipientul sau eticheta produsului. P102: A nu se lăsa la îndemâna copiilor.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P264: Spălaţi-vă bine după utilizare.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P280: Purtaţi echipament de protecţie a ochilor/ echipament de protecţie a feței.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P305+P351+P338:  ÎN CAZ DE CONTACT CU OCHII: Clătiţi cu atenţie cu apă timp de mai multe minute. Scoateţi lentilele de contact, dacă este cazul şi dacă acest lucru se poate face cu uşurinţă. Continuaţi să clătiţi.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P337+P313: Dacă iritarea ochilor persistă: consultaţi medicul.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P501: Aruncați conținutul/recipientul în conformitate cu sistemul de colectare selectivă aplicat în municipiul dvs.</w:t>
      </w:r>
    </w:p>
    <w:p>
      <w:pPr>
        <w:pStyle w:val="Normal"/>
        <w:ind w:end="45"/>
        <w:jc w:val="center"/>
        <w:rPr>
          <w:rFonts w:eastAsia="Montserrat"/>
          <w:sz w:val="24"/>
          <w:szCs w:val="24"/>
          <w:lang w:val="es-ES"/>
        </w:rPr>
      </w:pPr>
      <w:r>
        <w:rPr>
          <w:rFonts w:eastAsia="Montserrat"/>
          <w:sz w:val="24"/>
          <w:szCs w:val="24"/>
          <w:lang w:val="es-ES"/>
        </w:rPr>
      </w:r>
    </w:p>
    <w:p>
      <w:pPr>
        <w:pStyle w:val="Normal"/>
        <w:ind w:end="45"/>
        <w:jc w:val="center"/>
        <w:rPr>
          <w:rFonts w:eastAsia="Montserrat"/>
          <w:lang w:val="es-ES"/>
        </w:rPr>
      </w:pPr>
      <w:r>
        <w:rPr>
          <w:rFonts w:eastAsia="Montserrat"/>
          <w:lang w:val="es-ES"/>
        </w:rPr>
      </w:r>
    </w:p>
    <w:p>
      <w:pPr>
        <w:pStyle w:val="Normal"/>
        <w:ind w:end="45"/>
        <w:jc w:val="center"/>
        <w:rPr>
          <w:rFonts w:eastAsia="Montserrat"/>
          <w:lang w:val="es-ES"/>
        </w:rPr>
      </w:pPr>
      <w:r>
        <w:rPr>
          <w:rFonts w:eastAsia="Montserrat"/>
          <w:lang w:val="es-ES"/>
        </w:rPr>
      </w:r>
    </w:p>
    <w:p>
      <w:pPr>
        <w:pStyle w:val="Normal"/>
        <w:ind w:end="45"/>
        <w:jc w:val="center"/>
        <w:rPr>
          <w:rFonts w:eastAsia="Montserrat"/>
          <w:lang w:val="es-ES"/>
        </w:rPr>
      </w:pPr>
      <w:r>
        <w:rPr>
          <w:rFonts w:eastAsia="Montserrat"/>
          <w:lang w:val="es-ES"/>
        </w:rPr>
        <w:t>Pentru informații suplimentare, specialiștii societății noastre vă stau la dispoziție.</w:t>
      </w:r>
    </w:p>
    <w:p>
      <w:pPr>
        <w:pStyle w:val="Normal"/>
        <w:widowControl/>
        <w:spacing w:lineRule="auto" w:line="276"/>
        <w:jc w:val="both"/>
        <w:rPr>
          <w:rFonts w:eastAsia="Calibri"/>
          <w:lang w:val="es-ES"/>
        </w:rPr>
      </w:pPr>
      <w:r>
        <w:rPr>
          <w:lang w:val="es-ES" w:eastAsia="ro-RO"/>
        </w:rPr>
        <w:t xml:space="preserve"> </w:t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jc w:val="center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35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1" name="WordPictureWatermark175650320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75650320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2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3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913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en-US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3191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3191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1" w:customStyle="1">
    <w:name w:val="Normal1"/>
    <w:qFormat/>
    <w:rsid w:val="00431913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000000"/>
      <w:kern w:val="2"/>
      <w:sz w:val="22"/>
      <w:szCs w:val="22"/>
      <w:lang w:val="en-US" w:eastAsia="zh-CN" w:bidi="ar-SA"/>
      <w14:ligatures w14:val="none"/>
    </w:rPr>
  </w:style>
  <w:style w:type="paragraph" w:styleId="ListParagraph">
    <w:name w:val="List Paragraph"/>
    <w:basedOn w:val="Normal"/>
    <w:uiPriority w:val="34"/>
    <w:qFormat/>
    <w:rsid w:val="00431913"/>
    <w:pPr>
      <w:spacing w:before="0" w:after="0"/>
      <w:ind w:start="720"/>
      <w:contextualSpacing/>
    </w:pPr>
    <w:rPr>
      <w:rFonts w:cs="Mangal"/>
      <w:szCs w:val="21"/>
    </w:rPr>
  </w:style>
  <w:style w:type="paragraph" w:styleId="WW-Default" w:customStyle="1">
    <w:name w:val="WW-Default"/>
    <w:qFormat/>
    <w:rsid w:val="007c329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Textbody">
    <w:name w:val="Text body"/>
    <w:basedOn w:val="Normal"/>
    <w:qFormat/>
    <w:pPr>
      <w:widowControl/>
      <w:suppressAutoHyphens w:val="true"/>
      <w:spacing w:lineRule="auto" w:line="276" w:before="0" w:after="140"/>
      <w:textAlignment w:val="baseline"/>
    </w:pPr>
    <w:rPr>
      <w:rFonts w:ascii="Liberation Serif" w:hAnsi="Liberation Serif" w:eastAsia="NSimSun" w:cs="Arial"/>
      <w:color w:val="auto"/>
      <w:kern w:val="2"/>
      <w:lang w:val="ro-RO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56b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3891-1460-4C43-A955-546D3359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LibreOffice/24.2.0.3$Windows_X86_64 LibreOffice_project/da48488a73ddd66ea24cf16bbc4f7b9c08e9bea1</Application>
  <AppVersion>15.0000</AppVersion>
  <Pages>2</Pages>
  <Words>410</Words>
  <Characters>2376</Characters>
  <CharactersWithSpaces>2777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2023-12-14T12:56:00Z</dcterms:created>
  <dc:creator>Liana Ile</dc:creator>
  <dc:description/>
  <dc:language>en-US</dc:language>
  <cp:lastModifiedBy/>
  <dcterms:modified xsi:type="dcterms:W3CDTF">2024-03-28T15:16:19Z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